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040B7F" w14:textId="7C4298C7" w:rsidR="00E47B10" w:rsidRDefault="0098428D" w:rsidP="00E47B10">
      <w:pPr>
        <w:rPr>
          <w:rFonts w:eastAsia="Times New Roman"/>
          <w:color w:val="323232"/>
          <w:szCs w:val="24"/>
        </w:rPr>
      </w:pPr>
      <w:r>
        <w:rPr>
          <w:rFonts w:eastAsia="Times New Roman"/>
          <w:color w:val="323232"/>
          <w:szCs w:val="24"/>
        </w:rPr>
        <w:t>History 694: Digital Public History</w:t>
      </w:r>
    </w:p>
    <w:p w14:paraId="21EC04BA" w14:textId="3883FB8D" w:rsidR="0098428D" w:rsidRDefault="0098428D" w:rsidP="00E47B10">
      <w:pPr>
        <w:rPr>
          <w:rFonts w:eastAsia="Times New Roman"/>
          <w:color w:val="323232"/>
          <w:szCs w:val="24"/>
        </w:rPr>
      </w:pPr>
      <w:r>
        <w:rPr>
          <w:rFonts w:eastAsia="Times New Roman"/>
          <w:color w:val="323232"/>
          <w:szCs w:val="24"/>
        </w:rPr>
        <w:t>Comparative Site Review</w:t>
      </w:r>
    </w:p>
    <w:p w14:paraId="3A56238B" w14:textId="26093C05" w:rsidR="0098428D" w:rsidRDefault="0098428D" w:rsidP="00E47B10">
      <w:pPr>
        <w:rPr>
          <w:rFonts w:eastAsia="Times New Roman"/>
          <w:color w:val="323232"/>
          <w:szCs w:val="24"/>
        </w:rPr>
      </w:pPr>
      <w:r>
        <w:rPr>
          <w:rFonts w:eastAsia="Times New Roman"/>
          <w:color w:val="323232"/>
          <w:szCs w:val="24"/>
        </w:rPr>
        <w:t>Dr. Kelly</w:t>
      </w:r>
    </w:p>
    <w:p w14:paraId="4B5061FC" w14:textId="65CBD60A" w:rsidR="0098428D" w:rsidRDefault="0098428D" w:rsidP="00E47B10">
      <w:pPr>
        <w:rPr>
          <w:rFonts w:eastAsia="Times New Roman"/>
          <w:color w:val="323232"/>
          <w:szCs w:val="24"/>
        </w:rPr>
      </w:pPr>
    </w:p>
    <w:p w14:paraId="57DF2123" w14:textId="7417EEFD" w:rsidR="0098428D" w:rsidRDefault="0098428D" w:rsidP="00E47B10">
      <w:pPr>
        <w:rPr>
          <w:rFonts w:eastAsia="Times New Roman"/>
          <w:color w:val="323232"/>
          <w:szCs w:val="24"/>
        </w:rPr>
      </w:pPr>
      <w:r>
        <w:rPr>
          <w:rFonts w:eastAsia="Times New Roman"/>
          <w:color w:val="323232"/>
          <w:szCs w:val="24"/>
        </w:rPr>
        <w:t>2/5/2020</w:t>
      </w:r>
    </w:p>
    <w:p w14:paraId="55386069" w14:textId="3B7DD539" w:rsidR="0098428D" w:rsidRDefault="0098428D" w:rsidP="00E47B10">
      <w:pPr>
        <w:rPr>
          <w:rFonts w:eastAsia="Times New Roman"/>
          <w:color w:val="323232"/>
          <w:szCs w:val="24"/>
        </w:rPr>
      </w:pPr>
      <w:r>
        <w:rPr>
          <w:rFonts w:eastAsia="Times New Roman"/>
          <w:color w:val="323232"/>
          <w:szCs w:val="24"/>
        </w:rPr>
        <w:t>Chester Pelsang</w:t>
      </w:r>
    </w:p>
    <w:p w14:paraId="6569C4DF" w14:textId="25B27EB2" w:rsidR="0098428D" w:rsidRDefault="0098428D" w:rsidP="00E47B10">
      <w:pPr>
        <w:rPr>
          <w:rFonts w:eastAsia="Times New Roman"/>
          <w:color w:val="323232"/>
          <w:szCs w:val="24"/>
        </w:rPr>
      </w:pPr>
    </w:p>
    <w:p w14:paraId="1F507D42" w14:textId="77777777" w:rsidR="0098428D" w:rsidRDefault="0098428D" w:rsidP="0098428D">
      <w:pPr>
        <w:jc w:val="center"/>
        <w:rPr>
          <w:rFonts w:eastAsia="Times New Roman"/>
          <w:color w:val="323232"/>
          <w:szCs w:val="24"/>
        </w:rPr>
      </w:pPr>
      <w:r>
        <w:rPr>
          <w:rFonts w:eastAsia="Times New Roman"/>
          <w:color w:val="323232"/>
          <w:szCs w:val="24"/>
        </w:rPr>
        <w:t xml:space="preserve">United States Holocaust Museum: </w:t>
      </w:r>
    </w:p>
    <w:p w14:paraId="4BB34AC8" w14:textId="4C5C31AA" w:rsidR="0098428D" w:rsidRDefault="0098428D" w:rsidP="0098428D">
      <w:pPr>
        <w:jc w:val="center"/>
        <w:rPr>
          <w:rFonts w:eastAsia="Times New Roman"/>
          <w:color w:val="323232"/>
          <w:szCs w:val="24"/>
        </w:rPr>
      </w:pPr>
      <w:r w:rsidRPr="004A65F8">
        <w:rPr>
          <w:rFonts w:eastAsia="Times New Roman"/>
          <w:i/>
          <w:iCs/>
          <w:color w:val="323232"/>
          <w:szCs w:val="24"/>
        </w:rPr>
        <w:t>Americans and the Holocaust</w:t>
      </w:r>
      <w:r>
        <w:rPr>
          <w:rFonts w:eastAsia="Times New Roman"/>
          <w:color w:val="323232"/>
          <w:szCs w:val="24"/>
        </w:rPr>
        <w:t xml:space="preserve"> Exhibition Review</w:t>
      </w:r>
    </w:p>
    <w:p w14:paraId="07EA26AB" w14:textId="3CDA34C7" w:rsidR="0098428D" w:rsidRDefault="0098428D" w:rsidP="0098428D">
      <w:pPr>
        <w:jc w:val="center"/>
        <w:rPr>
          <w:rFonts w:eastAsia="Times New Roman"/>
          <w:color w:val="323232"/>
          <w:szCs w:val="24"/>
        </w:rPr>
      </w:pPr>
    </w:p>
    <w:p w14:paraId="45F033D6" w14:textId="1DDFE24C" w:rsidR="008B2AC8" w:rsidRDefault="0098428D" w:rsidP="00E91633">
      <w:pPr>
        <w:spacing w:line="480" w:lineRule="auto"/>
        <w:rPr>
          <w:rFonts w:eastAsia="Times New Roman"/>
          <w:color w:val="323232"/>
          <w:szCs w:val="24"/>
        </w:rPr>
      </w:pPr>
      <w:r>
        <w:rPr>
          <w:rFonts w:eastAsia="Times New Roman"/>
          <w:color w:val="323232"/>
          <w:szCs w:val="24"/>
        </w:rPr>
        <w:tab/>
      </w:r>
      <w:bookmarkStart w:id="0" w:name="_GoBack"/>
      <w:bookmarkEnd w:id="0"/>
      <w:r>
        <w:rPr>
          <w:rFonts w:eastAsia="Times New Roman"/>
          <w:color w:val="323232"/>
          <w:szCs w:val="24"/>
        </w:rPr>
        <w:t>This is a site review of the temporary exhibit within the United States Holocaust Memorial Museum</w:t>
      </w:r>
      <w:r w:rsidR="00EE124D">
        <w:rPr>
          <w:rFonts w:eastAsia="Times New Roman"/>
          <w:color w:val="323232"/>
          <w:szCs w:val="24"/>
        </w:rPr>
        <w:t xml:space="preserve"> titled </w:t>
      </w:r>
      <w:r w:rsidR="00EE124D">
        <w:rPr>
          <w:rFonts w:eastAsia="Times New Roman"/>
          <w:i/>
          <w:iCs/>
          <w:color w:val="323232"/>
          <w:szCs w:val="24"/>
        </w:rPr>
        <w:t>American</w:t>
      </w:r>
      <w:r w:rsidR="00C16985">
        <w:rPr>
          <w:rFonts w:eastAsia="Times New Roman"/>
          <w:i/>
          <w:iCs/>
          <w:color w:val="323232"/>
          <w:szCs w:val="24"/>
        </w:rPr>
        <w:t>s</w:t>
      </w:r>
      <w:r w:rsidR="00EE124D">
        <w:rPr>
          <w:rFonts w:eastAsia="Times New Roman"/>
          <w:i/>
          <w:iCs/>
          <w:color w:val="323232"/>
          <w:szCs w:val="24"/>
        </w:rPr>
        <w:t xml:space="preserve"> and the Holocaust</w:t>
      </w:r>
      <w:r w:rsidR="00EE124D">
        <w:rPr>
          <w:rFonts w:eastAsia="Times New Roman"/>
          <w:color w:val="323232"/>
          <w:szCs w:val="24"/>
        </w:rPr>
        <w:t xml:space="preserve">. The purpose of this review is to better understand how this exhibit was curated for an in-person experience as compared to an online experience.  </w:t>
      </w:r>
      <w:r w:rsidR="00955499">
        <w:rPr>
          <w:rFonts w:eastAsia="Times New Roman"/>
          <w:color w:val="323232"/>
          <w:szCs w:val="24"/>
        </w:rPr>
        <w:t>That being said, there are three main sections to this review: the first examines the in</w:t>
      </w:r>
      <w:r w:rsidR="006E231F">
        <w:rPr>
          <w:rFonts w:eastAsia="Times New Roman"/>
          <w:color w:val="323232"/>
          <w:szCs w:val="24"/>
        </w:rPr>
        <w:t xml:space="preserve"> </w:t>
      </w:r>
      <w:r w:rsidR="00955499">
        <w:rPr>
          <w:rFonts w:eastAsia="Times New Roman"/>
          <w:color w:val="323232"/>
          <w:szCs w:val="24"/>
        </w:rPr>
        <w:t>person exhibition. Using notes and photographs taken during a visit, this first section is designed to more fully flesh out the exhibition’s primary historical argument, audience, space layout, interactive elements, and much more. The second section is similar to the first in that it questions the exhibition’s digital design, layout, audience interaction, and presentation of the historical narrative</w:t>
      </w:r>
      <w:r w:rsidR="008B2AC8">
        <w:rPr>
          <w:rFonts w:eastAsia="Times New Roman"/>
          <w:color w:val="323232"/>
          <w:szCs w:val="24"/>
        </w:rPr>
        <w:t>, while also providing comparative commentary of the two exhibition mediums</w:t>
      </w:r>
      <w:r w:rsidR="00955499">
        <w:rPr>
          <w:rFonts w:eastAsia="Times New Roman"/>
          <w:color w:val="323232"/>
          <w:szCs w:val="24"/>
        </w:rPr>
        <w:t>.</w:t>
      </w:r>
      <w:r w:rsidR="008B2AC8">
        <w:rPr>
          <w:rFonts w:eastAsia="Times New Roman"/>
          <w:color w:val="323232"/>
          <w:szCs w:val="24"/>
        </w:rPr>
        <w:t xml:space="preserve"> The third and final section of this work draws out one major similarity and one difference that are, perhaps, the most important when comparing these two exhibition platforms and experiences. </w:t>
      </w:r>
      <w:r w:rsidR="00955499">
        <w:rPr>
          <w:rFonts w:eastAsia="Times New Roman"/>
          <w:color w:val="323232"/>
          <w:szCs w:val="24"/>
        </w:rPr>
        <w:t xml:space="preserve"> </w:t>
      </w:r>
    </w:p>
    <w:p w14:paraId="3FC547E5" w14:textId="602D1D7C" w:rsidR="00955499" w:rsidRDefault="00955499" w:rsidP="00955499">
      <w:pPr>
        <w:rPr>
          <w:rFonts w:eastAsia="Times New Roman"/>
          <w:b/>
          <w:bCs/>
          <w:color w:val="323232"/>
          <w:szCs w:val="24"/>
        </w:rPr>
      </w:pPr>
      <w:r>
        <w:rPr>
          <w:rFonts w:eastAsia="Times New Roman"/>
          <w:b/>
          <w:bCs/>
          <w:color w:val="323232"/>
          <w:szCs w:val="24"/>
        </w:rPr>
        <w:t xml:space="preserve">Part I: In-Person Experience </w:t>
      </w:r>
    </w:p>
    <w:p w14:paraId="19C81588" w14:textId="60EE0C50" w:rsidR="005F3BA3" w:rsidRDefault="00002C51" w:rsidP="00E91633">
      <w:pPr>
        <w:spacing w:line="480" w:lineRule="auto"/>
        <w:rPr>
          <w:rFonts w:eastAsia="Times New Roman"/>
          <w:color w:val="323232"/>
          <w:szCs w:val="24"/>
        </w:rPr>
      </w:pPr>
      <w:r>
        <w:rPr>
          <w:rFonts w:eastAsia="Times New Roman"/>
          <w:b/>
          <w:bCs/>
          <w:color w:val="323232"/>
          <w:szCs w:val="24"/>
        </w:rPr>
        <w:tab/>
      </w:r>
      <w:r>
        <w:rPr>
          <w:rFonts w:eastAsia="Times New Roman"/>
          <w:color w:val="323232"/>
          <w:szCs w:val="24"/>
        </w:rPr>
        <w:t xml:space="preserve">Although this </w:t>
      </w:r>
      <w:r w:rsidR="00A30A20">
        <w:rPr>
          <w:rFonts w:eastAsia="Times New Roman"/>
          <w:color w:val="323232"/>
          <w:szCs w:val="24"/>
        </w:rPr>
        <w:t xml:space="preserve">online and in-person </w:t>
      </w:r>
      <w:r>
        <w:rPr>
          <w:rFonts w:eastAsia="Times New Roman"/>
          <w:color w:val="323232"/>
          <w:szCs w:val="24"/>
        </w:rPr>
        <w:t xml:space="preserve">exhibition </w:t>
      </w:r>
      <w:r w:rsidR="008206AC">
        <w:rPr>
          <w:rFonts w:eastAsia="Times New Roman"/>
          <w:color w:val="323232"/>
          <w:szCs w:val="24"/>
        </w:rPr>
        <w:t>is currently</w:t>
      </w:r>
      <w:r>
        <w:rPr>
          <w:rFonts w:eastAsia="Times New Roman"/>
          <w:color w:val="323232"/>
          <w:szCs w:val="24"/>
        </w:rPr>
        <w:t xml:space="preserve"> open to all who want</w:t>
      </w:r>
      <w:r w:rsidR="00373936">
        <w:rPr>
          <w:rFonts w:eastAsia="Times New Roman"/>
          <w:color w:val="323232"/>
          <w:szCs w:val="24"/>
        </w:rPr>
        <w:t xml:space="preserve"> </w:t>
      </w:r>
      <w:r>
        <w:rPr>
          <w:rFonts w:eastAsia="Times New Roman"/>
          <w:color w:val="323232"/>
          <w:szCs w:val="24"/>
        </w:rPr>
        <w:t xml:space="preserve">to partake, a majority of the historical argumentation </w:t>
      </w:r>
      <w:r w:rsidR="00373936">
        <w:rPr>
          <w:rFonts w:eastAsia="Times New Roman"/>
          <w:color w:val="323232"/>
          <w:szCs w:val="24"/>
        </w:rPr>
        <w:t>is</w:t>
      </w:r>
      <w:r>
        <w:rPr>
          <w:rFonts w:eastAsia="Times New Roman"/>
          <w:color w:val="323232"/>
          <w:szCs w:val="24"/>
        </w:rPr>
        <w:t xml:space="preserve"> directed to American citizens</w:t>
      </w:r>
      <w:r w:rsidR="005F3BA3">
        <w:rPr>
          <w:rFonts w:eastAsia="Times New Roman"/>
          <w:color w:val="323232"/>
          <w:szCs w:val="24"/>
        </w:rPr>
        <w:t xml:space="preserve"> often found in school groups</w:t>
      </w:r>
      <w:r>
        <w:rPr>
          <w:rFonts w:eastAsia="Times New Roman"/>
          <w:color w:val="323232"/>
          <w:szCs w:val="24"/>
        </w:rPr>
        <w:t>.</w:t>
      </w:r>
      <w:r w:rsidR="005F3BA3">
        <w:rPr>
          <w:rFonts w:eastAsia="Times New Roman"/>
          <w:color w:val="323232"/>
          <w:szCs w:val="24"/>
        </w:rPr>
        <w:t xml:space="preserve"> When the author visited this exhibition, a vast majority of viewers were high school age students who, perhaps, were taking a structured learning fieldtrip.</w:t>
      </w:r>
    </w:p>
    <w:p w14:paraId="3DD11735" w14:textId="63A79CF0" w:rsidR="00955499" w:rsidRPr="005F3BA3" w:rsidRDefault="005F3BA3" w:rsidP="00E91633">
      <w:pPr>
        <w:spacing w:line="480" w:lineRule="auto"/>
        <w:ind w:firstLine="720"/>
        <w:rPr>
          <w:rFonts w:eastAsia="Times New Roman"/>
          <w:color w:val="323232"/>
          <w:szCs w:val="24"/>
        </w:rPr>
      </w:pPr>
      <w:r>
        <w:rPr>
          <w:rFonts w:eastAsia="Times New Roman"/>
          <w:color w:val="323232"/>
          <w:szCs w:val="24"/>
        </w:rPr>
        <w:t>Therefore, t</w:t>
      </w:r>
      <w:r w:rsidR="00C25E93">
        <w:rPr>
          <w:rFonts w:eastAsia="Times New Roman"/>
          <w:color w:val="323232"/>
          <w:szCs w:val="24"/>
        </w:rPr>
        <w:t xml:space="preserve">he argument that </w:t>
      </w:r>
      <w:r w:rsidR="00373936">
        <w:rPr>
          <w:rFonts w:eastAsia="Times New Roman"/>
          <w:color w:val="323232"/>
          <w:szCs w:val="24"/>
        </w:rPr>
        <w:t>is</w:t>
      </w:r>
      <w:r w:rsidR="00C25E93">
        <w:rPr>
          <w:rFonts w:eastAsia="Times New Roman"/>
          <w:color w:val="323232"/>
          <w:szCs w:val="24"/>
        </w:rPr>
        <w:t xml:space="preserve"> told within this exhibit </w:t>
      </w:r>
      <w:r w:rsidR="00373936">
        <w:rPr>
          <w:rFonts w:eastAsia="Times New Roman"/>
          <w:color w:val="323232"/>
          <w:szCs w:val="24"/>
        </w:rPr>
        <w:t>is</w:t>
      </w:r>
      <w:r w:rsidR="00C25E93">
        <w:rPr>
          <w:rFonts w:eastAsia="Times New Roman"/>
          <w:color w:val="323232"/>
          <w:szCs w:val="24"/>
        </w:rPr>
        <w:t xml:space="preserve"> that, in many cases, Americans did not fully realize </w:t>
      </w:r>
      <w:r w:rsidR="00D44776">
        <w:rPr>
          <w:rFonts w:eastAsia="Times New Roman"/>
          <w:color w:val="323232"/>
          <w:szCs w:val="24"/>
        </w:rPr>
        <w:t xml:space="preserve">or understand </w:t>
      </w:r>
      <w:r w:rsidR="00C25E93">
        <w:rPr>
          <w:rFonts w:eastAsia="Times New Roman"/>
          <w:color w:val="323232"/>
          <w:szCs w:val="24"/>
        </w:rPr>
        <w:t xml:space="preserve">the atrocities of the early holocaustic actions of the Nazi party, </w:t>
      </w:r>
      <w:r w:rsidR="00C25E93">
        <w:rPr>
          <w:rFonts w:eastAsia="Times New Roman"/>
          <w:color w:val="323232"/>
          <w:szCs w:val="24"/>
        </w:rPr>
        <w:lastRenderedPageBreak/>
        <w:t xml:space="preserve">and in their neglect, America played a role in allowing the Holocaust to spread and fester. </w:t>
      </w:r>
      <w:r w:rsidR="00D44776">
        <w:rPr>
          <w:rFonts w:eastAsia="Times New Roman"/>
          <w:color w:val="323232"/>
          <w:szCs w:val="24"/>
        </w:rPr>
        <w:t>This exhibition argument is fully typed on the walls of the entrance stating: “The United States alone could not have prevented the Holocaust, but more could have been done to save the six million Jews who were killed.”</w:t>
      </w:r>
      <w:r w:rsidR="00D44776">
        <w:rPr>
          <w:rStyle w:val="FootnoteReference"/>
          <w:rFonts w:eastAsia="Times New Roman"/>
          <w:color w:val="323232"/>
          <w:szCs w:val="24"/>
        </w:rPr>
        <w:footnoteReference w:id="1"/>
      </w:r>
    </w:p>
    <w:p w14:paraId="549FD26B" w14:textId="1BF23CAC" w:rsidR="00D44776" w:rsidRDefault="00D44776" w:rsidP="00E91633">
      <w:pPr>
        <w:spacing w:line="480" w:lineRule="auto"/>
        <w:rPr>
          <w:rFonts w:eastAsia="Times New Roman"/>
          <w:color w:val="323232"/>
          <w:szCs w:val="24"/>
        </w:rPr>
      </w:pPr>
      <w:r>
        <w:rPr>
          <w:rFonts w:eastAsia="Times New Roman"/>
          <w:color w:val="323232"/>
          <w:szCs w:val="24"/>
        </w:rPr>
        <w:tab/>
        <w:t xml:space="preserve">This argument is supported by a thread of print media, polling data, and migrate numbers. In many cases, the exhibition relays heavily on the print media of early twentieth-century America. Throughout the exhibition, one is ushered through a chronological retelling as to how Hitler was portrayed in the US media. The first block of objects are </w:t>
      </w:r>
      <w:r w:rsidR="00002C51">
        <w:rPr>
          <w:rFonts w:eastAsia="Times New Roman"/>
          <w:color w:val="323232"/>
          <w:szCs w:val="24"/>
        </w:rPr>
        <w:t xml:space="preserve">early 1930s </w:t>
      </w:r>
      <w:r>
        <w:rPr>
          <w:rFonts w:eastAsia="Times New Roman"/>
          <w:i/>
          <w:iCs/>
          <w:color w:val="323232"/>
          <w:szCs w:val="24"/>
        </w:rPr>
        <w:t xml:space="preserve">Time Magazine </w:t>
      </w:r>
      <w:r>
        <w:rPr>
          <w:rFonts w:eastAsia="Times New Roman"/>
          <w:color w:val="323232"/>
          <w:szCs w:val="24"/>
        </w:rPr>
        <w:t>covers showing praise for Hitler and his socialist policies.</w:t>
      </w:r>
      <w:r>
        <w:rPr>
          <w:rStyle w:val="FootnoteReference"/>
          <w:rFonts w:eastAsia="Times New Roman"/>
          <w:color w:val="323232"/>
          <w:szCs w:val="24"/>
        </w:rPr>
        <w:footnoteReference w:id="2"/>
      </w:r>
      <w:r>
        <w:rPr>
          <w:rFonts w:eastAsia="Times New Roman"/>
          <w:color w:val="323232"/>
          <w:szCs w:val="24"/>
        </w:rPr>
        <w:t xml:space="preserve"> As one continues throughout the exhibit, it is clear that the curators wanted to show changing American sentiment towards Hitler. </w:t>
      </w:r>
      <w:r w:rsidR="00002C51">
        <w:rPr>
          <w:rFonts w:eastAsia="Times New Roman"/>
          <w:color w:val="323232"/>
          <w:szCs w:val="24"/>
        </w:rPr>
        <w:t>This information was a on a “public opinion poll” display panel citing statistics from the American Institute of Public Opinion.</w:t>
      </w:r>
      <w:r w:rsidR="00002C51">
        <w:rPr>
          <w:rStyle w:val="FootnoteReference"/>
          <w:rFonts w:eastAsia="Times New Roman"/>
          <w:color w:val="323232"/>
          <w:szCs w:val="24"/>
        </w:rPr>
        <w:footnoteReference w:id="3"/>
      </w:r>
      <w:r w:rsidR="00002C51">
        <w:rPr>
          <w:rFonts w:eastAsia="Times New Roman"/>
          <w:color w:val="323232"/>
          <w:szCs w:val="24"/>
        </w:rPr>
        <w:t xml:space="preserve"> In fact, many of these public poll panels were expertly positioned to not only show a change in public opinion, but to demarcate when the visitor transitioned from one year to the next in the chronological timeline of the Holocaust.  </w:t>
      </w:r>
    </w:p>
    <w:p w14:paraId="68C7CD5F" w14:textId="788C0941" w:rsidR="00002C51" w:rsidRDefault="00002C51" w:rsidP="00E91633">
      <w:pPr>
        <w:spacing w:line="480" w:lineRule="auto"/>
        <w:rPr>
          <w:rFonts w:eastAsia="Times New Roman"/>
          <w:color w:val="323232"/>
          <w:szCs w:val="24"/>
        </w:rPr>
      </w:pPr>
      <w:r>
        <w:rPr>
          <w:rFonts w:eastAsia="Times New Roman"/>
          <w:color w:val="323232"/>
          <w:szCs w:val="24"/>
        </w:rPr>
        <w:tab/>
        <w:t xml:space="preserve">On that same line of questioning, the layout of the </w:t>
      </w:r>
      <w:r w:rsidR="00DE05B1">
        <w:rPr>
          <w:rFonts w:eastAsia="Times New Roman"/>
          <w:color w:val="323232"/>
          <w:szCs w:val="24"/>
        </w:rPr>
        <w:t xml:space="preserve">exhibition was masterfully done. </w:t>
      </w:r>
      <w:r w:rsidR="001543EF">
        <w:rPr>
          <w:rFonts w:eastAsia="Times New Roman"/>
          <w:color w:val="323232"/>
          <w:szCs w:val="24"/>
        </w:rPr>
        <w:t>The visitor</w:t>
      </w:r>
      <w:r w:rsidR="00176222">
        <w:rPr>
          <w:rFonts w:eastAsia="Times New Roman"/>
          <w:color w:val="323232"/>
          <w:szCs w:val="24"/>
        </w:rPr>
        <w:t>s</w:t>
      </w:r>
      <w:r w:rsidR="001543EF">
        <w:rPr>
          <w:rFonts w:eastAsia="Times New Roman"/>
          <w:color w:val="323232"/>
          <w:szCs w:val="24"/>
        </w:rPr>
        <w:t xml:space="preserve"> moved through this very structured exhibition in a linear</w:t>
      </w:r>
      <w:r w:rsidR="00FD023B">
        <w:rPr>
          <w:rFonts w:eastAsia="Times New Roman"/>
          <w:color w:val="323232"/>
          <w:szCs w:val="24"/>
        </w:rPr>
        <w:t>, singular</w:t>
      </w:r>
      <w:r w:rsidR="001543EF">
        <w:rPr>
          <w:rFonts w:eastAsia="Times New Roman"/>
          <w:color w:val="323232"/>
          <w:szCs w:val="24"/>
        </w:rPr>
        <w:t xml:space="preserve"> fashion. Meaning, the exhibition goers were funneled through the site </w:t>
      </w:r>
      <w:r w:rsidR="00176222">
        <w:rPr>
          <w:rFonts w:eastAsia="Times New Roman"/>
          <w:color w:val="323232"/>
          <w:szCs w:val="24"/>
        </w:rPr>
        <w:t xml:space="preserve">in a singular motion as to better understand the </w:t>
      </w:r>
      <w:r w:rsidR="001543EF">
        <w:rPr>
          <w:rFonts w:eastAsia="Times New Roman"/>
          <w:color w:val="323232"/>
          <w:szCs w:val="24"/>
        </w:rPr>
        <w:t xml:space="preserve">chronologically </w:t>
      </w:r>
      <w:r w:rsidR="00176222">
        <w:rPr>
          <w:rFonts w:eastAsia="Times New Roman"/>
          <w:color w:val="323232"/>
          <w:szCs w:val="24"/>
        </w:rPr>
        <w:t xml:space="preserve">structured exhibition. </w:t>
      </w:r>
    </w:p>
    <w:p w14:paraId="2F4C05AA" w14:textId="38D2A939" w:rsidR="00176222" w:rsidRDefault="00176222" w:rsidP="00E91633">
      <w:pPr>
        <w:spacing w:line="480" w:lineRule="auto"/>
        <w:rPr>
          <w:rFonts w:eastAsia="Times New Roman"/>
          <w:color w:val="323232"/>
          <w:szCs w:val="24"/>
        </w:rPr>
      </w:pPr>
      <w:r>
        <w:rPr>
          <w:rFonts w:eastAsia="Times New Roman"/>
          <w:color w:val="323232"/>
          <w:szCs w:val="24"/>
        </w:rPr>
        <w:tab/>
        <w:t xml:space="preserve">Site visitors are also encouraged to interact with touchscreen panels positioned throughout the exhibition. These touch panels offer the visitor access to more print media and </w:t>
      </w:r>
      <w:r>
        <w:rPr>
          <w:rFonts w:eastAsia="Times New Roman"/>
          <w:color w:val="323232"/>
          <w:szCs w:val="24"/>
        </w:rPr>
        <w:lastRenderedPageBreak/>
        <w:t xml:space="preserve">digital documents pertaining to American sentiment of Nazi Germany. When one enters the exhibition, one is confronted with a </w:t>
      </w:r>
      <w:r w:rsidR="00674139">
        <w:rPr>
          <w:rFonts w:eastAsia="Times New Roman"/>
          <w:color w:val="323232"/>
          <w:szCs w:val="24"/>
        </w:rPr>
        <w:t>large tv panel in which one could chose a state to see more newspapers that published on the topic of the Nazi part</w:t>
      </w:r>
      <w:r w:rsidR="00373936">
        <w:rPr>
          <w:rFonts w:eastAsia="Times New Roman"/>
          <w:color w:val="323232"/>
          <w:szCs w:val="24"/>
        </w:rPr>
        <w:t>y</w:t>
      </w:r>
      <w:r w:rsidR="00674139">
        <w:rPr>
          <w:rFonts w:eastAsia="Times New Roman"/>
          <w:color w:val="323232"/>
          <w:szCs w:val="24"/>
        </w:rPr>
        <w:t xml:space="preserve"> and German Jews.</w:t>
      </w:r>
      <w:r w:rsidR="00674139">
        <w:rPr>
          <w:rStyle w:val="FootnoteReference"/>
          <w:rFonts w:eastAsia="Times New Roman"/>
          <w:color w:val="323232"/>
          <w:szCs w:val="24"/>
        </w:rPr>
        <w:footnoteReference w:id="4"/>
      </w:r>
      <w:r>
        <w:rPr>
          <w:rFonts w:eastAsia="Times New Roman"/>
          <w:color w:val="323232"/>
          <w:szCs w:val="24"/>
        </w:rPr>
        <w:t xml:space="preserve"> </w:t>
      </w:r>
      <w:r w:rsidR="00674139">
        <w:rPr>
          <w:rFonts w:eastAsia="Times New Roman"/>
          <w:color w:val="323232"/>
          <w:szCs w:val="24"/>
        </w:rPr>
        <w:t xml:space="preserve">This interactive panel allowed visitors to see what was printed in their hometown newspapers; however, visitors were not able to add their own commentary to these digitized newspapers. In some case, a way to add more interactivity with the site could have been to allow visitors to type out memories of Nazi perceptions from their parents or grandparents. </w:t>
      </w:r>
    </w:p>
    <w:p w14:paraId="4A0360B1" w14:textId="418B00C1" w:rsidR="00674139" w:rsidRDefault="00674139" w:rsidP="00E91633">
      <w:pPr>
        <w:spacing w:line="480" w:lineRule="auto"/>
        <w:rPr>
          <w:rFonts w:eastAsia="Times New Roman"/>
          <w:b/>
          <w:bCs/>
          <w:color w:val="323232"/>
          <w:szCs w:val="24"/>
        </w:rPr>
      </w:pPr>
      <w:r>
        <w:rPr>
          <w:rFonts w:eastAsia="Times New Roman"/>
          <w:b/>
          <w:bCs/>
          <w:color w:val="323232"/>
          <w:szCs w:val="24"/>
        </w:rPr>
        <w:t xml:space="preserve">Part </w:t>
      </w:r>
      <w:r w:rsidR="00624829">
        <w:rPr>
          <w:rFonts w:eastAsia="Times New Roman"/>
          <w:b/>
          <w:bCs/>
          <w:color w:val="323232"/>
          <w:szCs w:val="24"/>
        </w:rPr>
        <w:t>II</w:t>
      </w:r>
      <w:r>
        <w:rPr>
          <w:rFonts w:eastAsia="Times New Roman"/>
          <w:b/>
          <w:bCs/>
          <w:color w:val="323232"/>
          <w:szCs w:val="24"/>
        </w:rPr>
        <w:t xml:space="preserve">: </w:t>
      </w:r>
      <w:r w:rsidR="008B2AC8">
        <w:rPr>
          <w:rFonts w:eastAsia="Times New Roman"/>
          <w:b/>
          <w:bCs/>
          <w:color w:val="323232"/>
          <w:szCs w:val="24"/>
        </w:rPr>
        <w:t xml:space="preserve">Comparative </w:t>
      </w:r>
      <w:r>
        <w:rPr>
          <w:rFonts w:eastAsia="Times New Roman"/>
          <w:b/>
          <w:bCs/>
          <w:color w:val="323232"/>
          <w:szCs w:val="24"/>
        </w:rPr>
        <w:t xml:space="preserve">Online Experience </w:t>
      </w:r>
    </w:p>
    <w:p w14:paraId="75E09581" w14:textId="692F7133" w:rsidR="00297AE8" w:rsidRDefault="003C0D3B" w:rsidP="00E91633">
      <w:pPr>
        <w:spacing w:line="480" w:lineRule="auto"/>
        <w:rPr>
          <w:rFonts w:eastAsia="Times New Roman"/>
          <w:color w:val="323232"/>
          <w:szCs w:val="24"/>
        </w:rPr>
      </w:pPr>
      <w:r>
        <w:rPr>
          <w:rFonts w:eastAsia="Times New Roman"/>
          <w:b/>
          <w:bCs/>
          <w:color w:val="323232"/>
          <w:szCs w:val="24"/>
        </w:rPr>
        <w:tab/>
      </w:r>
      <w:r>
        <w:rPr>
          <w:rFonts w:eastAsia="Times New Roman"/>
          <w:color w:val="323232"/>
          <w:szCs w:val="24"/>
        </w:rPr>
        <w:t>Similar to the in</w:t>
      </w:r>
      <w:r w:rsidR="00373936">
        <w:rPr>
          <w:rFonts w:eastAsia="Times New Roman"/>
          <w:color w:val="323232"/>
          <w:szCs w:val="24"/>
        </w:rPr>
        <w:t xml:space="preserve"> </w:t>
      </w:r>
      <w:r>
        <w:rPr>
          <w:rFonts w:eastAsia="Times New Roman"/>
          <w:color w:val="323232"/>
          <w:szCs w:val="24"/>
        </w:rPr>
        <w:t>person exhibition, the online display presents a similar argument that  during the rise of Nazism</w:t>
      </w:r>
      <w:r w:rsidR="00373936">
        <w:rPr>
          <w:rFonts w:eastAsia="Times New Roman"/>
          <w:color w:val="323232"/>
          <w:szCs w:val="24"/>
        </w:rPr>
        <w:t>,</w:t>
      </w:r>
      <w:r>
        <w:rPr>
          <w:rFonts w:eastAsia="Times New Roman"/>
          <w:color w:val="323232"/>
          <w:szCs w:val="24"/>
        </w:rPr>
        <w:t xml:space="preserve"> Americas were underinformed or unwilling to intercede in European affairs, and it was through this lack of response that led to massive Jewish casualties.</w:t>
      </w:r>
      <w:r>
        <w:rPr>
          <w:rStyle w:val="FootnoteReference"/>
          <w:rFonts w:eastAsia="Times New Roman"/>
          <w:color w:val="323232"/>
          <w:szCs w:val="24"/>
        </w:rPr>
        <w:footnoteReference w:id="5"/>
      </w:r>
      <w:r>
        <w:rPr>
          <w:rFonts w:eastAsia="Times New Roman"/>
          <w:color w:val="323232"/>
          <w:szCs w:val="24"/>
        </w:rPr>
        <w:t xml:space="preserve"> </w:t>
      </w:r>
      <w:r w:rsidR="007306DE">
        <w:rPr>
          <w:rFonts w:eastAsia="Times New Roman"/>
          <w:color w:val="323232"/>
          <w:szCs w:val="24"/>
        </w:rPr>
        <w:t xml:space="preserve">Moreover, the online </w:t>
      </w:r>
      <w:r w:rsidR="00373936">
        <w:rPr>
          <w:rFonts w:eastAsia="Times New Roman"/>
          <w:color w:val="323232"/>
          <w:szCs w:val="24"/>
        </w:rPr>
        <w:t xml:space="preserve">exhibit </w:t>
      </w:r>
      <w:r w:rsidR="00297AE8">
        <w:rPr>
          <w:rFonts w:eastAsia="Times New Roman"/>
          <w:color w:val="323232"/>
          <w:szCs w:val="24"/>
        </w:rPr>
        <w:t xml:space="preserve">asserts this argument with the help of digitized print media sources. One is able to select a news article and then zoom-in to read the sources. This type of source base was common in the in-person experience </w:t>
      </w:r>
      <w:r w:rsidR="00373936">
        <w:rPr>
          <w:rFonts w:eastAsia="Times New Roman"/>
          <w:color w:val="323232"/>
          <w:szCs w:val="24"/>
        </w:rPr>
        <w:t>as well</w:t>
      </w:r>
      <w:r w:rsidR="00297AE8">
        <w:rPr>
          <w:rFonts w:eastAsia="Times New Roman"/>
          <w:color w:val="323232"/>
          <w:szCs w:val="24"/>
        </w:rPr>
        <w:t xml:space="preserve">, adding to the exhibit’s scholarly nature. </w:t>
      </w:r>
    </w:p>
    <w:p w14:paraId="18FED5AE" w14:textId="5C16939B" w:rsidR="00297AE8" w:rsidRDefault="00297AE8" w:rsidP="00E91633">
      <w:pPr>
        <w:spacing w:line="480" w:lineRule="auto"/>
        <w:ind w:firstLine="720"/>
        <w:rPr>
          <w:rFonts w:eastAsia="Times New Roman"/>
          <w:color w:val="323232"/>
          <w:szCs w:val="24"/>
        </w:rPr>
      </w:pPr>
      <w:r>
        <w:rPr>
          <w:rFonts w:eastAsia="Times New Roman"/>
          <w:color w:val="323232"/>
          <w:szCs w:val="24"/>
        </w:rPr>
        <w:t xml:space="preserve">In many cases, these sources are a mixture of personal letters and printed news media. As one continues throughout the online exhibit, one is directed to scanned images of letters and official State Department memos. These types of sources help the exhibit speak with more authority. In other words, the online exhibit, as with the in-person experience, quotes and cites sources as any historical scholar would when writing research. </w:t>
      </w:r>
    </w:p>
    <w:p w14:paraId="55FC84D8" w14:textId="0B4C747F" w:rsidR="00955499" w:rsidRDefault="00297AE8" w:rsidP="00E91633">
      <w:pPr>
        <w:spacing w:line="480" w:lineRule="auto"/>
        <w:ind w:firstLine="720"/>
        <w:rPr>
          <w:rFonts w:eastAsia="Times New Roman"/>
          <w:color w:val="323232"/>
          <w:szCs w:val="24"/>
        </w:rPr>
      </w:pPr>
      <w:r>
        <w:rPr>
          <w:rFonts w:eastAsia="Times New Roman"/>
          <w:color w:val="323232"/>
          <w:szCs w:val="24"/>
        </w:rPr>
        <w:t xml:space="preserve">Other sources on the website are various videos that are narrated to show a story of </w:t>
      </w:r>
      <w:r w:rsidR="00373936">
        <w:rPr>
          <w:rFonts w:eastAsia="Times New Roman"/>
          <w:color w:val="323232"/>
          <w:szCs w:val="24"/>
        </w:rPr>
        <w:t xml:space="preserve">American </w:t>
      </w:r>
      <w:r>
        <w:rPr>
          <w:rFonts w:eastAsia="Times New Roman"/>
          <w:color w:val="323232"/>
          <w:szCs w:val="24"/>
        </w:rPr>
        <w:t>protests</w:t>
      </w:r>
      <w:r w:rsidR="00373936">
        <w:rPr>
          <w:rFonts w:eastAsia="Times New Roman"/>
          <w:color w:val="323232"/>
          <w:szCs w:val="24"/>
        </w:rPr>
        <w:t xml:space="preserve"> in response to Nazism</w:t>
      </w:r>
      <w:r>
        <w:rPr>
          <w:rFonts w:eastAsia="Times New Roman"/>
          <w:color w:val="323232"/>
          <w:szCs w:val="24"/>
        </w:rPr>
        <w:t xml:space="preserve">, American newspapers, </w:t>
      </w:r>
      <w:r w:rsidR="00373936">
        <w:rPr>
          <w:rFonts w:eastAsia="Times New Roman"/>
          <w:color w:val="323232"/>
          <w:szCs w:val="24"/>
        </w:rPr>
        <w:t>and</w:t>
      </w:r>
      <w:r>
        <w:rPr>
          <w:rFonts w:eastAsia="Times New Roman"/>
          <w:color w:val="323232"/>
          <w:szCs w:val="24"/>
        </w:rPr>
        <w:t xml:space="preserve"> American culture during </w:t>
      </w:r>
      <w:r>
        <w:rPr>
          <w:rFonts w:eastAsia="Times New Roman"/>
          <w:color w:val="323232"/>
          <w:szCs w:val="24"/>
        </w:rPr>
        <w:lastRenderedPageBreak/>
        <w:t xml:space="preserve">this time. </w:t>
      </w:r>
      <w:r w:rsidR="00D33473">
        <w:rPr>
          <w:rFonts w:eastAsia="Times New Roman"/>
          <w:color w:val="323232"/>
          <w:szCs w:val="24"/>
        </w:rPr>
        <w:t>In the fact, these informative videos are the same in both the online and in</w:t>
      </w:r>
      <w:r w:rsidR="00373936">
        <w:rPr>
          <w:rFonts w:eastAsia="Times New Roman"/>
          <w:color w:val="323232"/>
          <w:szCs w:val="24"/>
        </w:rPr>
        <w:t xml:space="preserve"> </w:t>
      </w:r>
      <w:r w:rsidR="00D33473">
        <w:rPr>
          <w:rFonts w:eastAsia="Times New Roman"/>
          <w:color w:val="323232"/>
          <w:szCs w:val="24"/>
        </w:rPr>
        <w:t xml:space="preserve">person exhibitions. </w:t>
      </w:r>
      <w:r w:rsidR="00373936">
        <w:rPr>
          <w:rFonts w:eastAsia="Times New Roman"/>
          <w:color w:val="323232"/>
          <w:szCs w:val="24"/>
        </w:rPr>
        <w:t xml:space="preserve">Moreover, </w:t>
      </w:r>
      <w:r w:rsidR="00D33473">
        <w:rPr>
          <w:rFonts w:eastAsia="Times New Roman"/>
          <w:color w:val="323232"/>
          <w:szCs w:val="24"/>
        </w:rPr>
        <w:t>the online viewing of the videos is much more enjoyable than in</w:t>
      </w:r>
      <w:r w:rsidR="00373936">
        <w:rPr>
          <w:rFonts w:eastAsia="Times New Roman"/>
          <w:color w:val="323232"/>
          <w:szCs w:val="24"/>
        </w:rPr>
        <w:t xml:space="preserve"> </w:t>
      </w:r>
      <w:r w:rsidR="00D33473">
        <w:rPr>
          <w:rFonts w:eastAsia="Times New Roman"/>
          <w:color w:val="323232"/>
          <w:szCs w:val="24"/>
        </w:rPr>
        <w:t xml:space="preserve">person. One is able to pause the video and read the subtitles more clearly, this offers the visitor more control over his or her experience. </w:t>
      </w:r>
    </w:p>
    <w:p w14:paraId="13B0C9DE" w14:textId="4CBC356B" w:rsidR="008F6849" w:rsidRDefault="00D33473" w:rsidP="00E91633">
      <w:pPr>
        <w:spacing w:line="480" w:lineRule="auto"/>
        <w:ind w:firstLine="720"/>
        <w:rPr>
          <w:rFonts w:eastAsia="Times New Roman"/>
          <w:color w:val="323232"/>
          <w:szCs w:val="24"/>
        </w:rPr>
      </w:pPr>
      <w:r>
        <w:rPr>
          <w:rFonts w:eastAsia="Times New Roman"/>
          <w:color w:val="323232"/>
          <w:szCs w:val="24"/>
        </w:rPr>
        <w:t xml:space="preserve">Regrading online experience, </w:t>
      </w:r>
      <w:r w:rsidR="00344F91">
        <w:rPr>
          <w:rFonts w:eastAsia="Times New Roman"/>
          <w:color w:val="323232"/>
          <w:szCs w:val="24"/>
        </w:rPr>
        <w:t xml:space="preserve">the user is directed linearly through the exhibit. A “Next” button appears at the bottom of the page indicating more content. The user is then directed through the material chronologically. One is able to use a side menu for more navigation. This side menu shows dots, and these dots display a color to indicate where one is within the larger online exhibition. </w:t>
      </w:r>
      <w:r w:rsidR="00557ECB">
        <w:rPr>
          <w:rFonts w:eastAsia="Times New Roman"/>
          <w:color w:val="323232"/>
          <w:szCs w:val="24"/>
        </w:rPr>
        <w:t xml:space="preserve">This form of navigation is well-done due in-part to the navigational dots. One is also able to hover over the dots to see the main themes of the exhibition, and then one can click to be transported to the selected theme or section. </w:t>
      </w:r>
    </w:p>
    <w:p w14:paraId="07A44EE5" w14:textId="77777777" w:rsidR="00F0462D" w:rsidRDefault="00557ECB" w:rsidP="00E91633">
      <w:pPr>
        <w:spacing w:line="480" w:lineRule="auto"/>
        <w:ind w:firstLine="720"/>
        <w:rPr>
          <w:rFonts w:eastAsia="Times New Roman"/>
          <w:color w:val="323232"/>
          <w:szCs w:val="24"/>
        </w:rPr>
      </w:pPr>
      <w:r>
        <w:rPr>
          <w:rFonts w:eastAsia="Times New Roman"/>
          <w:color w:val="323232"/>
          <w:szCs w:val="24"/>
        </w:rPr>
        <w:t>Users also have the opportunity</w:t>
      </w:r>
      <w:r w:rsidR="00BA23BE">
        <w:rPr>
          <w:rFonts w:eastAsia="Times New Roman"/>
          <w:color w:val="323232"/>
          <w:szCs w:val="24"/>
        </w:rPr>
        <w:t xml:space="preserve"> to provide feedback</w:t>
      </w:r>
      <w:r w:rsidR="00F41F4C">
        <w:rPr>
          <w:rFonts w:eastAsia="Times New Roman"/>
          <w:color w:val="323232"/>
          <w:szCs w:val="24"/>
        </w:rPr>
        <w:t xml:space="preserve"> to the curators of the exhibit</w:t>
      </w:r>
      <w:r w:rsidR="00BA23BE">
        <w:rPr>
          <w:rFonts w:eastAsia="Times New Roman"/>
          <w:color w:val="323232"/>
          <w:szCs w:val="24"/>
        </w:rPr>
        <w:t>.</w:t>
      </w:r>
      <w:r w:rsidR="00BA23BE">
        <w:rPr>
          <w:rStyle w:val="FootnoteReference"/>
          <w:rFonts w:eastAsia="Times New Roman"/>
          <w:color w:val="323232"/>
          <w:szCs w:val="24"/>
        </w:rPr>
        <w:footnoteReference w:id="6"/>
      </w:r>
      <w:r w:rsidR="00F41F4C">
        <w:rPr>
          <w:rFonts w:eastAsia="Times New Roman"/>
          <w:color w:val="323232"/>
          <w:szCs w:val="24"/>
        </w:rPr>
        <w:t xml:space="preserve"> This feedback button moves users to a Google Docs page in which one can provide commentary on the site experience. Although this is not a major part of the site, meaning visitors are not pressured to provide feedback, the feedback option does show the curators’ commitment to public engagement and public history. </w:t>
      </w:r>
    </w:p>
    <w:p w14:paraId="58C85444" w14:textId="6A2168B0" w:rsidR="00557ECB" w:rsidRDefault="00624829" w:rsidP="00E91633">
      <w:pPr>
        <w:spacing w:line="480" w:lineRule="auto"/>
        <w:rPr>
          <w:rFonts w:eastAsia="Times New Roman"/>
          <w:color w:val="323232"/>
          <w:szCs w:val="24"/>
        </w:rPr>
      </w:pPr>
      <w:r>
        <w:rPr>
          <w:rFonts w:eastAsia="Times New Roman"/>
          <w:b/>
          <w:bCs/>
          <w:color w:val="323232"/>
          <w:szCs w:val="24"/>
        </w:rPr>
        <w:t xml:space="preserve">Part III: </w:t>
      </w:r>
      <w:r w:rsidR="008B2AC8">
        <w:rPr>
          <w:rFonts w:eastAsia="Times New Roman"/>
          <w:b/>
          <w:bCs/>
          <w:color w:val="323232"/>
          <w:szCs w:val="24"/>
        </w:rPr>
        <w:t>Argumentative Theme and Feedback</w:t>
      </w:r>
      <w:r>
        <w:rPr>
          <w:rFonts w:eastAsia="Times New Roman"/>
          <w:b/>
          <w:bCs/>
          <w:color w:val="323232"/>
          <w:szCs w:val="24"/>
        </w:rPr>
        <w:t xml:space="preserve">  </w:t>
      </w:r>
      <w:r w:rsidR="00F41F4C">
        <w:rPr>
          <w:rFonts w:eastAsia="Times New Roman"/>
          <w:color w:val="323232"/>
          <w:szCs w:val="24"/>
        </w:rPr>
        <w:t xml:space="preserve"> </w:t>
      </w:r>
      <w:r w:rsidR="00BA23BE">
        <w:rPr>
          <w:rFonts w:eastAsia="Times New Roman"/>
          <w:color w:val="323232"/>
          <w:szCs w:val="24"/>
        </w:rPr>
        <w:t xml:space="preserve"> </w:t>
      </w:r>
    </w:p>
    <w:p w14:paraId="04EF1310" w14:textId="0C00A285" w:rsidR="008F6849" w:rsidRDefault="00624829" w:rsidP="00E91633">
      <w:pPr>
        <w:spacing w:line="480" w:lineRule="auto"/>
        <w:rPr>
          <w:rFonts w:eastAsia="Times New Roman"/>
          <w:color w:val="323232"/>
          <w:szCs w:val="24"/>
        </w:rPr>
      </w:pPr>
      <w:r>
        <w:rPr>
          <w:rFonts w:eastAsia="Times New Roman"/>
          <w:color w:val="323232"/>
          <w:szCs w:val="24"/>
        </w:rPr>
        <w:tab/>
      </w:r>
      <w:r w:rsidR="00D94733">
        <w:rPr>
          <w:rFonts w:eastAsia="Times New Roman"/>
          <w:color w:val="323232"/>
          <w:szCs w:val="24"/>
        </w:rPr>
        <w:t xml:space="preserve">Regarding historical argumentation, both sites argue </w:t>
      </w:r>
      <w:r w:rsidR="0026152A">
        <w:rPr>
          <w:rFonts w:eastAsia="Times New Roman"/>
          <w:color w:val="323232"/>
          <w:szCs w:val="24"/>
        </w:rPr>
        <w:t>that there was a disconnect between American perceptions of the early Nazi rule and the realities of the situation.</w:t>
      </w:r>
      <w:r w:rsidR="0026152A">
        <w:rPr>
          <w:rStyle w:val="FootnoteReference"/>
          <w:rFonts w:eastAsia="Times New Roman"/>
          <w:color w:val="323232"/>
          <w:szCs w:val="24"/>
        </w:rPr>
        <w:footnoteReference w:id="7"/>
      </w:r>
      <w:r w:rsidR="0026152A">
        <w:rPr>
          <w:rFonts w:eastAsia="Times New Roman"/>
          <w:color w:val="323232"/>
          <w:szCs w:val="24"/>
        </w:rPr>
        <w:t xml:space="preserve"> In many ways, this exhibition, whether the experience was online or in-person, pushes the visitor to consider how Americans received their new</w:t>
      </w:r>
      <w:r w:rsidR="00365029">
        <w:rPr>
          <w:rFonts w:eastAsia="Times New Roman"/>
          <w:color w:val="323232"/>
          <w:szCs w:val="24"/>
        </w:rPr>
        <w:t>s</w:t>
      </w:r>
      <w:r w:rsidR="0026152A">
        <w:rPr>
          <w:rFonts w:eastAsia="Times New Roman"/>
          <w:color w:val="323232"/>
          <w:szCs w:val="24"/>
        </w:rPr>
        <w:t xml:space="preserve"> and if they questioned headlines. </w:t>
      </w:r>
      <w:r w:rsidR="00C4466C">
        <w:rPr>
          <w:rFonts w:eastAsia="Times New Roman"/>
          <w:color w:val="323232"/>
          <w:szCs w:val="24"/>
        </w:rPr>
        <w:t xml:space="preserve">In many cases the purpose of </w:t>
      </w:r>
      <w:r w:rsidR="00C4466C">
        <w:rPr>
          <w:rFonts w:eastAsia="Times New Roman"/>
          <w:color w:val="323232"/>
          <w:szCs w:val="24"/>
        </w:rPr>
        <w:lastRenderedPageBreak/>
        <w:t>this exhibit was to slide visitors out of their comfort zone, making them think critically about print media in the age of the Holocaust. This aura of uneasiness was felt even with the online experience. The colors and videos presented on the website offer a solemn feeling.</w:t>
      </w:r>
      <w:r w:rsidR="00C4466C">
        <w:rPr>
          <w:rStyle w:val="FootnoteReference"/>
          <w:rFonts w:eastAsia="Times New Roman"/>
          <w:color w:val="323232"/>
          <w:szCs w:val="24"/>
        </w:rPr>
        <w:footnoteReference w:id="8"/>
      </w:r>
    </w:p>
    <w:p w14:paraId="7A168834" w14:textId="335DEE20" w:rsidR="00937A0F" w:rsidRDefault="00C4466C" w:rsidP="00E91633">
      <w:pPr>
        <w:spacing w:line="480" w:lineRule="auto"/>
        <w:rPr>
          <w:rFonts w:eastAsia="Times New Roman"/>
          <w:color w:val="323232"/>
          <w:szCs w:val="24"/>
        </w:rPr>
      </w:pPr>
      <w:r>
        <w:rPr>
          <w:rFonts w:eastAsia="Times New Roman"/>
          <w:color w:val="323232"/>
          <w:szCs w:val="24"/>
        </w:rPr>
        <w:tab/>
        <w:t>However, the visitor experience did not stop with well</w:t>
      </w:r>
      <w:r w:rsidR="00365029">
        <w:rPr>
          <w:rFonts w:eastAsia="Times New Roman"/>
          <w:color w:val="323232"/>
          <w:szCs w:val="24"/>
        </w:rPr>
        <w:t>-</w:t>
      </w:r>
      <w:r>
        <w:rPr>
          <w:rFonts w:eastAsia="Times New Roman"/>
          <w:color w:val="323232"/>
          <w:szCs w:val="24"/>
        </w:rPr>
        <w:t>curat</w:t>
      </w:r>
      <w:r w:rsidR="00365029">
        <w:rPr>
          <w:rFonts w:eastAsia="Times New Roman"/>
          <w:color w:val="323232"/>
          <w:szCs w:val="24"/>
        </w:rPr>
        <w:t>ed</w:t>
      </w:r>
      <w:r>
        <w:rPr>
          <w:rFonts w:eastAsia="Times New Roman"/>
          <w:color w:val="323232"/>
          <w:szCs w:val="24"/>
        </w:rPr>
        <w:t xml:space="preserve"> color schemes. Both the online and in</w:t>
      </w:r>
      <w:r w:rsidR="00365029">
        <w:rPr>
          <w:rFonts w:eastAsia="Times New Roman"/>
          <w:color w:val="323232"/>
          <w:szCs w:val="24"/>
        </w:rPr>
        <w:t xml:space="preserve"> </w:t>
      </w:r>
      <w:r>
        <w:rPr>
          <w:rFonts w:eastAsia="Times New Roman"/>
          <w:color w:val="323232"/>
          <w:szCs w:val="24"/>
        </w:rPr>
        <w:t xml:space="preserve">person </w:t>
      </w:r>
      <w:r w:rsidR="00365029">
        <w:rPr>
          <w:rFonts w:eastAsia="Times New Roman"/>
          <w:color w:val="323232"/>
          <w:szCs w:val="24"/>
        </w:rPr>
        <w:t xml:space="preserve">exhibition </w:t>
      </w:r>
      <w:r>
        <w:rPr>
          <w:rFonts w:eastAsia="Times New Roman"/>
          <w:color w:val="323232"/>
          <w:szCs w:val="24"/>
        </w:rPr>
        <w:t xml:space="preserve">offered visitors interactive modules. </w:t>
      </w:r>
      <w:r w:rsidR="00E64810">
        <w:rPr>
          <w:rFonts w:eastAsia="Times New Roman"/>
          <w:color w:val="323232"/>
          <w:szCs w:val="24"/>
        </w:rPr>
        <w:t xml:space="preserve">The exhibit was designed heavily around printed newspapers, magazines, typed government memos, and transcripts from radio newscasts, but the exhibit </w:t>
      </w:r>
      <w:r w:rsidR="00C14823">
        <w:rPr>
          <w:rFonts w:eastAsia="Times New Roman"/>
          <w:color w:val="323232"/>
          <w:szCs w:val="24"/>
        </w:rPr>
        <w:t>offered an opportunity of choice. One was able to choose which printed sources he or she wanted to view. The opportunity was offered online by picking a newspaper</w:t>
      </w:r>
      <w:r w:rsidR="00E64810">
        <w:rPr>
          <w:rFonts w:eastAsia="Times New Roman"/>
          <w:color w:val="323232"/>
          <w:szCs w:val="24"/>
        </w:rPr>
        <w:t xml:space="preserve"> </w:t>
      </w:r>
      <w:r w:rsidR="00C14823">
        <w:rPr>
          <w:rFonts w:eastAsia="Times New Roman"/>
          <w:color w:val="323232"/>
          <w:szCs w:val="24"/>
        </w:rPr>
        <w:t xml:space="preserve">of interest, and, in-person, one was able to select newspapers from a large touchscreen map. Choosing a news source, in mays, is an opportunity for investigation and analysis. The exhibit wants its visitors </w:t>
      </w:r>
      <w:r w:rsidR="009A43C4">
        <w:rPr>
          <w:rFonts w:eastAsia="Times New Roman"/>
          <w:color w:val="323232"/>
          <w:szCs w:val="24"/>
        </w:rPr>
        <w:t xml:space="preserve">to think critically by comparing various news publishers from various states. In other words, this is not a passive exhibit, one is </w:t>
      </w:r>
      <w:r w:rsidR="00937A0F">
        <w:rPr>
          <w:rFonts w:eastAsia="Times New Roman"/>
          <w:color w:val="323232"/>
          <w:szCs w:val="24"/>
        </w:rPr>
        <w:t xml:space="preserve">an active participant in this endeavor to uncover American </w:t>
      </w:r>
      <w:r w:rsidR="00375C22">
        <w:rPr>
          <w:rFonts w:eastAsia="Times New Roman"/>
          <w:color w:val="323232"/>
          <w:szCs w:val="24"/>
        </w:rPr>
        <w:t>perceptions</w:t>
      </w:r>
      <w:r w:rsidR="00937A0F">
        <w:rPr>
          <w:rFonts w:eastAsia="Times New Roman"/>
          <w:color w:val="323232"/>
          <w:szCs w:val="24"/>
        </w:rPr>
        <w:t xml:space="preserve"> of Nazi Germany.  </w:t>
      </w:r>
    </w:p>
    <w:p w14:paraId="379779E1" w14:textId="3C5C72DA" w:rsidR="00D42E0E" w:rsidRDefault="00375C22" w:rsidP="00E91633">
      <w:pPr>
        <w:spacing w:line="480" w:lineRule="auto"/>
        <w:rPr>
          <w:rFonts w:eastAsia="Times New Roman"/>
          <w:color w:val="323232"/>
          <w:szCs w:val="24"/>
        </w:rPr>
      </w:pPr>
      <w:r>
        <w:rPr>
          <w:rFonts w:eastAsia="Times New Roman"/>
          <w:color w:val="323232"/>
          <w:szCs w:val="24"/>
        </w:rPr>
        <w:tab/>
      </w:r>
      <w:r w:rsidR="0069525E">
        <w:rPr>
          <w:rFonts w:eastAsia="Times New Roman"/>
          <w:color w:val="323232"/>
          <w:szCs w:val="24"/>
        </w:rPr>
        <w:t>Although both the online and in-person exhibitions are very similar in their message, theme, mood, source base, and linear presentation, they do have differences when it comes to audience feedback.</w:t>
      </w:r>
      <w:r w:rsidR="000A40CB">
        <w:rPr>
          <w:rFonts w:eastAsia="Times New Roman"/>
          <w:color w:val="323232"/>
          <w:szCs w:val="24"/>
        </w:rPr>
        <w:t xml:space="preserve"> The online platform offers the visitors an opportunity to provide feedback on the overall exhibition experience.</w:t>
      </w:r>
      <w:r w:rsidR="000A40CB">
        <w:rPr>
          <w:rStyle w:val="FootnoteReference"/>
          <w:rFonts w:eastAsia="Times New Roman"/>
          <w:color w:val="323232"/>
          <w:szCs w:val="24"/>
        </w:rPr>
        <w:footnoteReference w:id="9"/>
      </w:r>
      <w:r w:rsidR="000A40CB">
        <w:rPr>
          <w:rFonts w:eastAsia="Times New Roman"/>
          <w:color w:val="323232"/>
          <w:szCs w:val="24"/>
        </w:rPr>
        <w:t xml:space="preserve"> One is then able to fill out a Google form to provide commentary on the exhibit. Moreover, this feedback form also collects general age data. Simply, the curators use this form to not only allow visitors to provide feedback, but, in return, the curators also collect limited demographic data. Furthermore, the in-person experience only </w:t>
      </w:r>
      <w:r w:rsidR="000A40CB">
        <w:rPr>
          <w:rFonts w:eastAsia="Times New Roman"/>
          <w:color w:val="323232"/>
          <w:szCs w:val="24"/>
        </w:rPr>
        <w:lastRenderedPageBreak/>
        <w:t xml:space="preserve">provides visitors the opportunity to write down what they learned in a notebook at the end of the exhibition tour. </w:t>
      </w:r>
    </w:p>
    <w:p w14:paraId="638F66C5" w14:textId="0F669186" w:rsidR="00955499" w:rsidRDefault="00955499" w:rsidP="00E47B10">
      <w:pPr>
        <w:rPr>
          <w:szCs w:val="24"/>
        </w:rPr>
      </w:pPr>
    </w:p>
    <w:p w14:paraId="6CE9821E" w14:textId="55319AD4" w:rsidR="00955499" w:rsidRDefault="00955499" w:rsidP="00E47B10">
      <w:pPr>
        <w:rPr>
          <w:szCs w:val="24"/>
        </w:rPr>
      </w:pPr>
    </w:p>
    <w:p w14:paraId="6B0DA070" w14:textId="04D0D856" w:rsidR="00955499" w:rsidRDefault="00955499" w:rsidP="00E47B10">
      <w:pPr>
        <w:rPr>
          <w:szCs w:val="24"/>
        </w:rPr>
      </w:pPr>
    </w:p>
    <w:p w14:paraId="5B08013B" w14:textId="3B747E79" w:rsidR="0068627A" w:rsidRDefault="0068627A">
      <w:pPr>
        <w:rPr>
          <w:szCs w:val="24"/>
        </w:rPr>
      </w:pPr>
      <w:r>
        <w:rPr>
          <w:szCs w:val="24"/>
        </w:rPr>
        <w:br w:type="page"/>
      </w:r>
    </w:p>
    <w:p w14:paraId="061E5E70" w14:textId="0CC83F7F" w:rsidR="00DA32D6" w:rsidRDefault="00DA32D6" w:rsidP="00DA32D6">
      <w:pPr>
        <w:jc w:val="center"/>
        <w:rPr>
          <w:szCs w:val="24"/>
        </w:rPr>
      </w:pPr>
      <w:r>
        <w:rPr>
          <w:noProof/>
          <w:szCs w:val="24"/>
        </w:rPr>
        <w:lastRenderedPageBreak/>
        <w:drawing>
          <wp:anchor distT="0" distB="0" distL="114300" distR="114300" simplePos="0" relativeHeight="251658240" behindDoc="1" locked="0" layoutInCell="1" allowOverlap="1" wp14:anchorId="31651E25" wp14:editId="28E0AE7C">
            <wp:simplePos x="0" y="0"/>
            <wp:positionH relativeFrom="column">
              <wp:posOffset>847725</wp:posOffset>
            </wp:positionH>
            <wp:positionV relativeFrom="page">
              <wp:posOffset>1409700</wp:posOffset>
            </wp:positionV>
            <wp:extent cx="4107180" cy="2247265"/>
            <wp:effectExtent l="0" t="0" r="762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5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07180" cy="2247265"/>
                    </a:xfrm>
                    <a:prstGeom prst="rect">
                      <a:avLst/>
                    </a:prstGeom>
                  </pic:spPr>
                </pic:pic>
              </a:graphicData>
            </a:graphic>
            <wp14:sizeRelH relativeFrom="page">
              <wp14:pctWidth>0</wp14:pctWidth>
            </wp14:sizeRelH>
            <wp14:sizeRelV relativeFrom="page">
              <wp14:pctHeight>0</wp14:pctHeight>
            </wp14:sizeRelV>
          </wp:anchor>
        </w:drawing>
      </w:r>
      <w:r>
        <w:rPr>
          <w:noProof/>
          <w:szCs w:val="24"/>
        </w:rPr>
        <w:softHyphen/>
      </w:r>
      <w:r>
        <w:rPr>
          <w:noProof/>
          <w:szCs w:val="24"/>
        </w:rPr>
        <w:softHyphen/>
      </w:r>
      <w:r>
        <w:rPr>
          <w:noProof/>
          <w:szCs w:val="24"/>
        </w:rPr>
        <w:softHyphen/>
      </w:r>
      <w:r>
        <w:rPr>
          <w:noProof/>
          <w:szCs w:val="24"/>
        </w:rPr>
        <w:softHyphen/>
      </w:r>
      <w:r>
        <w:rPr>
          <w:noProof/>
          <w:szCs w:val="24"/>
        </w:rPr>
        <w:softHyphen/>
      </w:r>
      <w:r>
        <w:rPr>
          <w:noProof/>
          <w:szCs w:val="24"/>
        </w:rPr>
        <w:softHyphen/>
      </w:r>
      <w:r>
        <w:rPr>
          <w:szCs w:val="24"/>
        </w:rPr>
        <w:t>Appendix</w:t>
      </w:r>
    </w:p>
    <w:p w14:paraId="3185CA63" w14:textId="74B2013E" w:rsidR="00DA32D6" w:rsidRDefault="00DA32D6" w:rsidP="00DA32D6">
      <w:pPr>
        <w:jc w:val="center"/>
        <w:rPr>
          <w:szCs w:val="24"/>
        </w:rPr>
      </w:pPr>
    </w:p>
    <w:p w14:paraId="6BE69A16" w14:textId="397BC4DD" w:rsidR="00DA32D6" w:rsidRDefault="00DA32D6" w:rsidP="00DA32D6">
      <w:pPr>
        <w:jc w:val="center"/>
        <w:rPr>
          <w:szCs w:val="24"/>
        </w:rPr>
      </w:pPr>
    </w:p>
    <w:p w14:paraId="377C27C2" w14:textId="77777777" w:rsidR="00DA32D6" w:rsidRDefault="00DA32D6" w:rsidP="00DA32D6">
      <w:pPr>
        <w:jc w:val="center"/>
        <w:rPr>
          <w:szCs w:val="24"/>
        </w:rPr>
      </w:pPr>
    </w:p>
    <w:p w14:paraId="7F317928" w14:textId="125FA86D" w:rsidR="00DA32D6" w:rsidRDefault="00DA32D6" w:rsidP="00DA32D6">
      <w:pPr>
        <w:jc w:val="center"/>
        <w:rPr>
          <w:szCs w:val="24"/>
        </w:rPr>
      </w:pPr>
    </w:p>
    <w:p w14:paraId="46231444" w14:textId="77777777" w:rsidR="00DA32D6" w:rsidRDefault="00DA32D6" w:rsidP="00DA32D6">
      <w:pPr>
        <w:jc w:val="center"/>
        <w:rPr>
          <w:szCs w:val="24"/>
        </w:rPr>
      </w:pPr>
    </w:p>
    <w:p w14:paraId="36BFB8AB" w14:textId="77777777" w:rsidR="00DA32D6" w:rsidRDefault="00DA32D6" w:rsidP="00DA32D6">
      <w:pPr>
        <w:jc w:val="center"/>
        <w:rPr>
          <w:szCs w:val="24"/>
        </w:rPr>
      </w:pPr>
    </w:p>
    <w:p w14:paraId="79650B5E" w14:textId="77777777" w:rsidR="00DA32D6" w:rsidRDefault="00DA32D6" w:rsidP="00DA32D6">
      <w:pPr>
        <w:jc w:val="center"/>
        <w:rPr>
          <w:szCs w:val="24"/>
        </w:rPr>
      </w:pPr>
    </w:p>
    <w:p w14:paraId="196A5B45" w14:textId="27D1529A" w:rsidR="00DA32D6" w:rsidRDefault="00DA32D6" w:rsidP="00DA32D6">
      <w:pPr>
        <w:jc w:val="center"/>
        <w:rPr>
          <w:szCs w:val="24"/>
        </w:rPr>
      </w:pPr>
    </w:p>
    <w:p w14:paraId="245AAB33" w14:textId="4566816B" w:rsidR="00CE6FBF" w:rsidRDefault="00CE6FBF" w:rsidP="00DA32D6">
      <w:pPr>
        <w:jc w:val="center"/>
        <w:rPr>
          <w:szCs w:val="24"/>
        </w:rPr>
      </w:pPr>
    </w:p>
    <w:p w14:paraId="087FC110" w14:textId="2DC99B81" w:rsidR="00CE6FBF" w:rsidRDefault="00CE6FBF" w:rsidP="00DA32D6">
      <w:pPr>
        <w:jc w:val="center"/>
        <w:rPr>
          <w:szCs w:val="24"/>
        </w:rPr>
      </w:pPr>
    </w:p>
    <w:p w14:paraId="2A68E2CE" w14:textId="14D1CDCF" w:rsidR="00CE6FBF" w:rsidRDefault="00CE6FBF" w:rsidP="00DA32D6">
      <w:pPr>
        <w:jc w:val="center"/>
        <w:rPr>
          <w:szCs w:val="24"/>
        </w:rPr>
      </w:pPr>
    </w:p>
    <w:p w14:paraId="4FD130ED" w14:textId="274ECCD1" w:rsidR="00CE6FBF" w:rsidRDefault="00CE6FBF" w:rsidP="00DA32D6">
      <w:pPr>
        <w:jc w:val="center"/>
        <w:rPr>
          <w:szCs w:val="24"/>
        </w:rPr>
      </w:pPr>
    </w:p>
    <w:p w14:paraId="151423CD" w14:textId="40AE39F4" w:rsidR="00CE6FBF" w:rsidRDefault="00CE6FBF" w:rsidP="00DA32D6">
      <w:pPr>
        <w:jc w:val="center"/>
        <w:rPr>
          <w:szCs w:val="24"/>
        </w:rPr>
      </w:pPr>
    </w:p>
    <w:p w14:paraId="76F20E3E" w14:textId="3F19611A" w:rsidR="00CE6FBF" w:rsidRDefault="00CE6FBF" w:rsidP="00DA32D6">
      <w:pPr>
        <w:jc w:val="center"/>
        <w:rPr>
          <w:szCs w:val="24"/>
        </w:rPr>
      </w:pPr>
    </w:p>
    <w:p w14:paraId="4BAEF098" w14:textId="1150E25F" w:rsidR="00CE6FBF" w:rsidRDefault="00CE6FBF" w:rsidP="00DA32D6">
      <w:pPr>
        <w:jc w:val="center"/>
        <w:rPr>
          <w:szCs w:val="24"/>
        </w:rPr>
      </w:pPr>
    </w:p>
    <w:p w14:paraId="6709003F" w14:textId="488D13B0" w:rsidR="00CE6FBF" w:rsidRDefault="00CE6FBF" w:rsidP="00DA32D6">
      <w:pPr>
        <w:jc w:val="center"/>
        <w:rPr>
          <w:szCs w:val="24"/>
        </w:rPr>
      </w:pPr>
      <w:r>
        <w:rPr>
          <w:szCs w:val="24"/>
        </w:rPr>
        <w:t xml:space="preserve">Picture taken by author. Entrance Introduction. </w:t>
      </w:r>
    </w:p>
    <w:p w14:paraId="7D705286" w14:textId="6D734392" w:rsidR="00CE6FBF" w:rsidRDefault="00CE6FBF" w:rsidP="00DA32D6">
      <w:pPr>
        <w:jc w:val="center"/>
        <w:rPr>
          <w:szCs w:val="24"/>
        </w:rPr>
      </w:pPr>
      <w:r>
        <w:rPr>
          <w:noProof/>
          <w:szCs w:val="24"/>
        </w:rPr>
        <w:drawing>
          <wp:anchor distT="0" distB="0" distL="114300" distR="114300" simplePos="0" relativeHeight="251659264" behindDoc="1" locked="0" layoutInCell="1" allowOverlap="1" wp14:anchorId="5346EC57" wp14:editId="65A88C77">
            <wp:simplePos x="0" y="0"/>
            <wp:positionH relativeFrom="column">
              <wp:posOffset>1218565</wp:posOffset>
            </wp:positionH>
            <wp:positionV relativeFrom="page">
              <wp:posOffset>4009390</wp:posOffset>
            </wp:positionV>
            <wp:extent cx="3471545" cy="3759835"/>
            <wp:effectExtent l="8255" t="0" r="381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520.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471545" cy="3759835"/>
                    </a:xfrm>
                    <a:prstGeom prst="rect">
                      <a:avLst/>
                    </a:prstGeom>
                  </pic:spPr>
                </pic:pic>
              </a:graphicData>
            </a:graphic>
            <wp14:sizeRelH relativeFrom="margin">
              <wp14:pctWidth>0</wp14:pctWidth>
            </wp14:sizeRelH>
            <wp14:sizeRelV relativeFrom="margin">
              <wp14:pctHeight>0</wp14:pctHeight>
            </wp14:sizeRelV>
          </wp:anchor>
        </w:drawing>
      </w:r>
    </w:p>
    <w:p w14:paraId="7901BD88" w14:textId="0E153380" w:rsidR="00CE6FBF" w:rsidRDefault="00CE6FBF" w:rsidP="00DA32D6">
      <w:pPr>
        <w:jc w:val="center"/>
        <w:rPr>
          <w:szCs w:val="24"/>
        </w:rPr>
      </w:pPr>
    </w:p>
    <w:p w14:paraId="386B762D" w14:textId="72721AD7" w:rsidR="00CE6FBF" w:rsidRDefault="00CE6FBF" w:rsidP="00DA32D6">
      <w:pPr>
        <w:jc w:val="center"/>
        <w:rPr>
          <w:szCs w:val="24"/>
        </w:rPr>
      </w:pPr>
    </w:p>
    <w:p w14:paraId="04CD11CC" w14:textId="0B14CF44" w:rsidR="00CE6FBF" w:rsidRDefault="00CE6FBF" w:rsidP="00DA32D6">
      <w:pPr>
        <w:jc w:val="center"/>
        <w:rPr>
          <w:szCs w:val="24"/>
        </w:rPr>
      </w:pPr>
    </w:p>
    <w:p w14:paraId="3EC5A062" w14:textId="127BAD84" w:rsidR="00CE6FBF" w:rsidRDefault="00CE6FBF" w:rsidP="00DA32D6">
      <w:pPr>
        <w:jc w:val="center"/>
        <w:rPr>
          <w:szCs w:val="24"/>
        </w:rPr>
      </w:pPr>
    </w:p>
    <w:p w14:paraId="17B9E884" w14:textId="5219BF02" w:rsidR="00CE6FBF" w:rsidRDefault="00CE6FBF" w:rsidP="00DA32D6">
      <w:pPr>
        <w:jc w:val="center"/>
        <w:rPr>
          <w:szCs w:val="24"/>
        </w:rPr>
      </w:pPr>
    </w:p>
    <w:p w14:paraId="40C18C43" w14:textId="5C2ECCB1" w:rsidR="00CE6FBF" w:rsidRDefault="00CE6FBF" w:rsidP="00DA32D6">
      <w:pPr>
        <w:jc w:val="center"/>
        <w:rPr>
          <w:szCs w:val="24"/>
        </w:rPr>
      </w:pPr>
    </w:p>
    <w:p w14:paraId="0A6F80CA" w14:textId="293BB783" w:rsidR="00CE6FBF" w:rsidRDefault="00CE6FBF" w:rsidP="00DA32D6">
      <w:pPr>
        <w:jc w:val="center"/>
        <w:rPr>
          <w:szCs w:val="24"/>
        </w:rPr>
      </w:pPr>
    </w:p>
    <w:p w14:paraId="5DED3E5C" w14:textId="19FF6B3D" w:rsidR="00CE6FBF" w:rsidRDefault="00CE6FBF" w:rsidP="00DA32D6">
      <w:pPr>
        <w:jc w:val="center"/>
        <w:rPr>
          <w:szCs w:val="24"/>
        </w:rPr>
      </w:pPr>
    </w:p>
    <w:p w14:paraId="11C22CD7" w14:textId="492B816C" w:rsidR="00CE6FBF" w:rsidRDefault="00CE6FBF" w:rsidP="00DA32D6">
      <w:pPr>
        <w:jc w:val="center"/>
        <w:rPr>
          <w:szCs w:val="24"/>
        </w:rPr>
      </w:pPr>
    </w:p>
    <w:p w14:paraId="46A00148" w14:textId="3DB37AF5" w:rsidR="00CE6FBF" w:rsidRDefault="00CE6FBF" w:rsidP="00DA32D6">
      <w:pPr>
        <w:jc w:val="center"/>
        <w:rPr>
          <w:szCs w:val="24"/>
        </w:rPr>
      </w:pPr>
    </w:p>
    <w:p w14:paraId="48E8C1D8" w14:textId="6285B0BC" w:rsidR="00CE6FBF" w:rsidRDefault="00CE6FBF" w:rsidP="00DA32D6">
      <w:pPr>
        <w:jc w:val="center"/>
        <w:rPr>
          <w:szCs w:val="24"/>
        </w:rPr>
      </w:pPr>
    </w:p>
    <w:p w14:paraId="42DF22B8" w14:textId="7F2A2441" w:rsidR="00CE6FBF" w:rsidRDefault="00CE6FBF" w:rsidP="00DA32D6">
      <w:pPr>
        <w:jc w:val="center"/>
        <w:rPr>
          <w:szCs w:val="24"/>
        </w:rPr>
      </w:pPr>
    </w:p>
    <w:p w14:paraId="14693667" w14:textId="28BE45E7" w:rsidR="00CE6FBF" w:rsidRDefault="00CE6FBF" w:rsidP="00DA32D6">
      <w:pPr>
        <w:jc w:val="center"/>
        <w:rPr>
          <w:szCs w:val="24"/>
        </w:rPr>
      </w:pPr>
    </w:p>
    <w:p w14:paraId="2284B97B" w14:textId="5225BE1F" w:rsidR="00CE6FBF" w:rsidRDefault="00CE6FBF" w:rsidP="00DA32D6">
      <w:pPr>
        <w:jc w:val="center"/>
        <w:rPr>
          <w:szCs w:val="24"/>
        </w:rPr>
      </w:pPr>
    </w:p>
    <w:p w14:paraId="35BF28F6" w14:textId="32A30BEC" w:rsidR="00CE6FBF" w:rsidRDefault="00CE6FBF" w:rsidP="00DA32D6">
      <w:pPr>
        <w:jc w:val="center"/>
        <w:rPr>
          <w:szCs w:val="24"/>
        </w:rPr>
      </w:pPr>
    </w:p>
    <w:p w14:paraId="04A85713" w14:textId="63CDB81F" w:rsidR="00CE6FBF" w:rsidRDefault="00CE6FBF" w:rsidP="00DA32D6">
      <w:pPr>
        <w:jc w:val="center"/>
        <w:rPr>
          <w:szCs w:val="24"/>
        </w:rPr>
      </w:pPr>
    </w:p>
    <w:p w14:paraId="16D6DE15" w14:textId="080DFD77" w:rsidR="00CE6FBF" w:rsidRDefault="00CE6FBF" w:rsidP="00DA32D6">
      <w:pPr>
        <w:jc w:val="center"/>
        <w:rPr>
          <w:szCs w:val="24"/>
        </w:rPr>
      </w:pPr>
    </w:p>
    <w:p w14:paraId="00A81230" w14:textId="7669D7A0" w:rsidR="00CE6FBF" w:rsidRDefault="00CE6FBF" w:rsidP="00DA32D6">
      <w:pPr>
        <w:jc w:val="center"/>
        <w:rPr>
          <w:szCs w:val="24"/>
        </w:rPr>
      </w:pPr>
    </w:p>
    <w:p w14:paraId="69CFF7B8" w14:textId="6B499D55" w:rsidR="00CE6FBF" w:rsidRDefault="00CE6FBF" w:rsidP="00DA32D6">
      <w:pPr>
        <w:jc w:val="center"/>
        <w:rPr>
          <w:szCs w:val="24"/>
        </w:rPr>
      </w:pPr>
    </w:p>
    <w:p w14:paraId="5FE6D1B8" w14:textId="42A17789" w:rsidR="00CE6FBF" w:rsidRDefault="00CE6FBF" w:rsidP="00DA32D6">
      <w:pPr>
        <w:jc w:val="center"/>
        <w:rPr>
          <w:szCs w:val="24"/>
        </w:rPr>
      </w:pPr>
    </w:p>
    <w:p w14:paraId="27C9CBE4" w14:textId="35704994" w:rsidR="00DA32D6" w:rsidRDefault="00DA32D6" w:rsidP="00DA32D6">
      <w:pPr>
        <w:jc w:val="center"/>
        <w:rPr>
          <w:szCs w:val="24"/>
        </w:rPr>
      </w:pPr>
    </w:p>
    <w:p w14:paraId="7875B49F" w14:textId="549C3260" w:rsidR="00CE6FBF" w:rsidRPr="00CE6FBF" w:rsidRDefault="00CE6FBF" w:rsidP="00DA32D6">
      <w:pPr>
        <w:jc w:val="center"/>
        <w:rPr>
          <w:szCs w:val="24"/>
        </w:rPr>
      </w:pPr>
      <w:r>
        <w:rPr>
          <w:szCs w:val="24"/>
        </w:rPr>
        <w:t xml:space="preserve">Picture taken by author. First panel of </w:t>
      </w:r>
      <w:r>
        <w:rPr>
          <w:i/>
          <w:iCs/>
          <w:szCs w:val="24"/>
        </w:rPr>
        <w:t xml:space="preserve">Time Magazine </w:t>
      </w:r>
      <w:r>
        <w:rPr>
          <w:szCs w:val="24"/>
        </w:rPr>
        <w:t>newspapers</w:t>
      </w:r>
    </w:p>
    <w:p w14:paraId="362FC519" w14:textId="77777777" w:rsidR="00CE6FBF" w:rsidRDefault="00CE6FBF" w:rsidP="00DA32D6">
      <w:pPr>
        <w:jc w:val="center"/>
        <w:rPr>
          <w:szCs w:val="24"/>
        </w:rPr>
      </w:pPr>
    </w:p>
    <w:p w14:paraId="30194729" w14:textId="77777777" w:rsidR="00CE6FBF" w:rsidRDefault="00CE6FBF" w:rsidP="00DA32D6">
      <w:pPr>
        <w:jc w:val="center"/>
        <w:rPr>
          <w:szCs w:val="24"/>
        </w:rPr>
      </w:pPr>
    </w:p>
    <w:p w14:paraId="2685FFCF" w14:textId="77777777" w:rsidR="00CE6FBF" w:rsidRDefault="00CE6FBF" w:rsidP="00DA32D6">
      <w:pPr>
        <w:jc w:val="center"/>
        <w:rPr>
          <w:szCs w:val="24"/>
        </w:rPr>
      </w:pPr>
    </w:p>
    <w:p w14:paraId="6A3D2F0E" w14:textId="77777777" w:rsidR="00CE6FBF" w:rsidRDefault="00CE6FBF" w:rsidP="00DA32D6">
      <w:pPr>
        <w:jc w:val="center"/>
        <w:rPr>
          <w:szCs w:val="24"/>
        </w:rPr>
      </w:pPr>
    </w:p>
    <w:p w14:paraId="4EE25FC9" w14:textId="77777777" w:rsidR="00CE6FBF" w:rsidRDefault="00CE6FBF" w:rsidP="00DA32D6">
      <w:pPr>
        <w:jc w:val="center"/>
        <w:rPr>
          <w:szCs w:val="24"/>
        </w:rPr>
      </w:pPr>
    </w:p>
    <w:p w14:paraId="4C8D6C2E" w14:textId="77777777" w:rsidR="00CE6FBF" w:rsidRDefault="00CE6FBF" w:rsidP="00DA32D6">
      <w:pPr>
        <w:jc w:val="center"/>
        <w:rPr>
          <w:szCs w:val="24"/>
        </w:rPr>
      </w:pPr>
    </w:p>
    <w:p w14:paraId="756A9A5C" w14:textId="5A2F316F" w:rsidR="00CE6FBF" w:rsidRDefault="00CE6FBF" w:rsidP="00DA32D6">
      <w:pPr>
        <w:jc w:val="center"/>
        <w:rPr>
          <w:szCs w:val="24"/>
        </w:rPr>
      </w:pPr>
    </w:p>
    <w:p w14:paraId="371246C5" w14:textId="51DA7F69" w:rsidR="00CE6FBF" w:rsidRDefault="00CE6FBF" w:rsidP="00DA32D6">
      <w:pPr>
        <w:jc w:val="center"/>
        <w:rPr>
          <w:szCs w:val="24"/>
        </w:rPr>
      </w:pPr>
    </w:p>
    <w:p w14:paraId="38EF7CF6" w14:textId="345376D6" w:rsidR="00CE6FBF" w:rsidRDefault="00CE6FBF" w:rsidP="00DA32D6">
      <w:pPr>
        <w:jc w:val="center"/>
        <w:rPr>
          <w:szCs w:val="24"/>
        </w:rPr>
      </w:pPr>
    </w:p>
    <w:p w14:paraId="6463F41B" w14:textId="2FC37381" w:rsidR="00CE6FBF" w:rsidRDefault="00CE6FBF" w:rsidP="00DA32D6">
      <w:pPr>
        <w:jc w:val="center"/>
        <w:rPr>
          <w:szCs w:val="24"/>
        </w:rPr>
      </w:pPr>
      <w:r>
        <w:rPr>
          <w:noProof/>
          <w:szCs w:val="24"/>
        </w:rPr>
        <w:drawing>
          <wp:anchor distT="0" distB="0" distL="114300" distR="114300" simplePos="0" relativeHeight="251661312" behindDoc="1" locked="0" layoutInCell="1" allowOverlap="1" wp14:anchorId="359ECEE4" wp14:editId="7EB77A8C">
            <wp:simplePos x="0" y="0"/>
            <wp:positionH relativeFrom="column">
              <wp:posOffset>1448435</wp:posOffset>
            </wp:positionH>
            <wp:positionV relativeFrom="page">
              <wp:posOffset>1591945</wp:posOffset>
            </wp:positionV>
            <wp:extent cx="3390900" cy="2543175"/>
            <wp:effectExtent l="4762" t="0" r="4763" b="4762"/>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528.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390900" cy="2543175"/>
                    </a:xfrm>
                    <a:prstGeom prst="rect">
                      <a:avLst/>
                    </a:prstGeom>
                  </pic:spPr>
                </pic:pic>
              </a:graphicData>
            </a:graphic>
            <wp14:sizeRelH relativeFrom="margin">
              <wp14:pctWidth>0</wp14:pctWidth>
            </wp14:sizeRelH>
            <wp14:sizeRelV relativeFrom="margin">
              <wp14:pctHeight>0</wp14:pctHeight>
            </wp14:sizeRelV>
          </wp:anchor>
        </w:drawing>
      </w:r>
    </w:p>
    <w:p w14:paraId="1CC88CC3" w14:textId="47C839A8" w:rsidR="00CE6FBF" w:rsidRDefault="00CE6FBF" w:rsidP="00DA32D6">
      <w:pPr>
        <w:jc w:val="center"/>
        <w:rPr>
          <w:szCs w:val="24"/>
        </w:rPr>
      </w:pPr>
    </w:p>
    <w:p w14:paraId="52105BDC" w14:textId="77777777" w:rsidR="00CE6FBF" w:rsidRDefault="00CE6FBF" w:rsidP="00DA32D6">
      <w:pPr>
        <w:jc w:val="center"/>
        <w:rPr>
          <w:szCs w:val="24"/>
        </w:rPr>
      </w:pPr>
    </w:p>
    <w:p w14:paraId="310BF14B" w14:textId="0A3BC295" w:rsidR="00CE6FBF" w:rsidRDefault="00CE6FBF" w:rsidP="00DA32D6">
      <w:pPr>
        <w:jc w:val="center"/>
        <w:rPr>
          <w:szCs w:val="24"/>
        </w:rPr>
      </w:pPr>
    </w:p>
    <w:p w14:paraId="28C40EF3" w14:textId="77777777" w:rsidR="00CE6FBF" w:rsidRDefault="00CE6FBF" w:rsidP="00DA32D6">
      <w:pPr>
        <w:jc w:val="center"/>
        <w:rPr>
          <w:szCs w:val="24"/>
        </w:rPr>
      </w:pPr>
    </w:p>
    <w:p w14:paraId="7CCA3449" w14:textId="3A81F6FD" w:rsidR="00CE6FBF" w:rsidRDefault="00CE6FBF" w:rsidP="00DA32D6">
      <w:pPr>
        <w:jc w:val="center"/>
        <w:rPr>
          <w:szCs w:val="24"/>
        </w:rPr>
      </w:pPr>
    </w:p>
    <w:p w14:paraId="0DEF8269" w14:textId="66F6771F" w:rsidR="00CE6FBF" w:rsidRDefault="00CE6FBF" w:rsidP="00DA32D6">
      <w:pPr>
        <w:jc w:val="center"/>
        <w:rPr>
          <w:szCs w:val="24"/>
        </w:rPr>
      </w:pPr>
    </w:p>
    <w:p w14:paraId="70307C77" w14:textId="77777777" w:rsidR="00CE6FBF" w:rsidRDefault="00CE6FBF" w:rsidP="00DA32D6">
      <w:pPr>
        <w:jc w:val="center"/>
        <w:rPr>
          <w:szCs w:val="24"/>
        </w:rPr>
      </w:pPr>
    </w:p>
    <w:p w14:paraId="6B0599AD" w14:textId="6F05BD68" w:rsidR="00CE6FBF" w:rsidRDefault="00CE6FBF" w:rsidP="00DA32D6">
      <w:pPr>
        <w:jc w:val="center"/>
        <w:rPr>
          <w:szCs w:val="24"/>
        </w:rPr>
      </w:pPr>
    </w:p>
    <w:p w14:paraId="0F2864FE" w14:textId="77777777" w:rsidR="00CE6FBF" w:rsidRDefault="00CE6FBF" w:rsidP="00DA32D6">
      <w:pPr>
        <w:jc w:val="center"/>
        <w:rPr>
          <w:szCs w:val="24"/>
        </w:rPr>
      </w:pPr>
    </w:p>
    <w:p w14:paraId="5CC5F383" w14:textId="399F2C53" w:rsidR="00CE6FBF" w:rsidRDefault="00CE6FBF" w:rsidP="00DA32D6">
      <w:pPr>
        <w:jc w:val="center"/>
        <w:rPr>
          <w:szCs w:val="24"/>
        </w:rPr>
      </w:pPr>
    </w:p>
    <w:p w14:paraId="12CD92D0" w14:textId="0BC77621" w:rsidR="00CE6FBF" w:rsidRDefault="00CE6FBF" w:rsidP="00DA32D6">
      <w:pPr>
        <w:jc w:val="center"/>
        <w:rPr>
          <w:szCs w:val="24"/>
        </w:rPr>
      </w:pPr>
    </w:p>
    <w:p w14:paraId="77466864" w14:textId="77777777" w:rsidR="00CE6FBF" w:rsidRDefault="00CE6FBF" w:rsidP="00DA32D6">
      <w:pPr>
        <w:jc w:val="center"/>
        <w:rPr>
          <w:szCs w:val="24"/>
        </w:rPr>
      </w:pPr>
    </w:p>
    <w:p w14:paraId="53EEB0B9" w14:textId="77777777" w:rsidR="00CE6FBF" w:rsidRDefault="00CE6FBF" w:rsidP="00DA32D6">
      <w:pPr>
        <w:jc w:val="center"/>
        <w:rPr>
          <w:szCs w:val="24"/>
        </w:rPr>
      </w:pPr>
    </w:p>
    <w:p w14:paraId="6DA58D24" w14:textId="77777777" w:rsidR="00CE6FBF" w:rsidRDefault="00CE6FBF" w:rsidP="00DA32D6">
      <w:pPr>
        <w:jc w:val="center"/>
        <w:rPr>
          <w:szCs w:val="24"/>
        </w:rPr>
      </w:pPr>
    </w:p>
    <w:p w14:paraId="2B9A475B" w14:textId="77777777" w:rsidR="00CE6FBF" w:rsidRDefault="00CE6FBF" w:rsidP="00DA32D6">
      <w:pPr>
        <w:jc w:val="center"/>
        <w:rPr>
          <w:szCs w:val="24"/>
        </w:rPr>
      </w:pPr>
    </w:p>
    <w:p w14:paraId="7A4AF330" w14:textId="77777777" w:rsidR="00CE6FBF" w:rsidRDefault="00CE6FBF" w:rsidP="00DA32D6">
      <w:pPr>
        <w:jc w:val="center"/>
        <w:rPr>
          <w:szCs w:val="24"/>
        </w:rPr>
      </w:pPr>
    </w:p>
    <w:p w14:paraId="17B080F3" w14:textId="77777777" w:rsidR="00CE6FBF" w:rsidRDefault="00CE6FBF" w:rsidP="00DA32D6">
      <w:pPr>
        <w:jc w:val="center"/>
        <w:rPr>
          <w:szCs w:val="24"/>
        </w:rPr>
      </w:pPr>
    </w:p>
    <w:p w14:paraId="2F695B05" w14:textId="128C7015" w:rsidR="00CE6FBF" w:rsidRDefault="00CE6FBF" w:rsidP="00DA32D6">
      <w:pPr>
        <w:jc w:val="center"/>
        <w:rPr>
          <w:szCs w:val="24"/>
        </w:rPr>
      </w:pPr>
      <w:r>
        <w:rPr>
          <w:szCs w:val="24"/>
        </w:rPr>
        <w:t>Picture taken by author. Public Polling.</w:t>
      </w:r>
    </w:p>
    <w:p w14:paraId="562D9AD2" w14:textId="77777777" w:rsidR="00CE6FBF" w:rsidRDefault="00CE6FBF" w:rsidP="00DA32D6">
      <w:pPr>
        <w:jc w:val="center"/>
        <w:rPr>
          <w:szCs w:val="24"/>
        </w:rPr>
      </w:pPr>
    </w:p>
    <w:p w14:paraId="4A756509" w14:textId="77777777" w:rsidR="00CE6FBF" w:rsidRDefault="00CE6FBF" w:rsidP="00DA32D6">
      <w:pPr>
        <w:jc w:val="center"/>
        <w:rPr>
          <w:szCs w:val="24"/>
        </w:rPr>
      </w:pPr>
    </w:p>
    <w:p w14:paraId="0A857572" w14:textId="551003F6" w:rsidR="00CE6FBF" w:rsidRDefault="00CE6FBF" w:rsidP="00DA32D6">
      <w:pPr>
        <w:jc w:val="center"/>
        <w:rPr>
          <w:szCs w:val="24"/>
        </w:rPr>
      </w:pPr>
    </w:p>
    <w:p w14:paraId="783BE614" w14:textId="21BE1B44" w:rsidR="00CE6FBF" w:rsidRDefault="00CE6FBF" w:rsidP="00DA32D6">
      <w:pPr>
        <w:jc w:val="center"/>
        <w:rPr>
          <w:szCs w:val="24"/>
        </w:rPr>
      </w:pPr>
    </w:p>
    <w:p w14:paraId="0ADA381E" w14:textId="458A94C8" w:rsidR="00CE6FBF" w:rsidRDefault="00CE6FBF" w:rsidP="00DA32D6">
      <w:pPr>
        <w:jc w:val="center"/>
        <w:rPr>
          <w:szCs w:val="24"/>
        </w:rPr>
      </w:pPr>
      <w:r>
        <w:rPr>
          <w:noProof/>
          <w:szCs w:val="24"/>
        </w:rPr>
        <w:drawing>
          <wp:anchor distT="0" distB="0" distL="114300" distR="114300" simplePos="0" relativeHeight="251660288" behindDoc="1" locked="0" layoutInCell="1" allowOverlap="1" wp14:anchorId="5FD987EB" wp14:editId="135300EF">
            <wp:simplePos x="0" y="0"/>
            <wp:positionH relativeFrom="column">
              <wp:posOffset>1323975</wp:posOffset>
            </wp:positionH>
            <wp:positionV relativeFrom="page">
              <wp:posOffset>5591175</wp:posOffset>
            </wp:positionV>
            <wp:extent cx="3429000" cy="2571750"/>
            <wp:effectExtent l="0" t="9525"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522.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429000" cy="2571750"/>
                    </a:xfrm>
                    <a:prstGeom prst="rect">
                      <a:avLst/>
                    </a:prstGeom>
                  </pic:spPr>
                </pic:pic>
              </a:graphicData>
            </a:graphic>
            <wp14:sizeRelH relativeFrom="margin">
              <wp14:pctWidth>0</wp14:pctWidth>
            </wp14:sizeRelH>
            <wp14:sizeRelV relativeFrom="margin">
              <wp14:pctHeight>0</wp14:pctHeight>
            </wp14:sizeRelV>
          </wp:anchor>
        </w:drawing>
      </w:r>
    </w:p>
    <w:p w14:paraId="687C9F23" w14:textId="4DD98FBB" w:rsidR="00CE6FBF" w:rsidRDefault="00CE6FBF" w:rsidP="00DA32D6">
      <w:pPr>
        <w:jc w:val="center"/>
        <w:rPr>
          <w:szCs w:val="24"/>
        </w:rPr>
      </w:pPr>
    </w:p>
    <w:p w14:paraId="4FA5840C" w14:textId="43EE1D9B" w:rsidR="00CE6FBF" w:rsidRDefault="00CE6FBF" w:rsidP="00DA32D6">
      <w:pPr>
        <w:jc w:val="center"/>
        <w:rPr>
          <w:szCs w:val="24"/>
        </w:rPr>
      </w:pPr>
    </w:p>
    <w:p w14:paraId="52EF2E26" w14:textId="17A09990" w:rsidR="00CE6FBF" w:rsidRDefault="00CE6FBF" w:rsidP="00DA32D6">
      <w:pPr>
        <w:jc w:val="center"/>
        <w:rPr>
          <w:szCs w:val="24"/>
        </w:rPr>
      </w:pPr>
    </w:p>
    <w:p w14:paraId="35DDAD45" w14:textId="77777777" w:rsidR="00CE6FBF" w:rsidRDefault="00CE6FBF" w:rsidP="00DA32D6">
      <w:pPr>
        <w:jc w:val="center"/>
        <w:rPr>
          <w:szCs w:val="24"/>
        </w:rPr>
      </w:pPr>
    </w:p>
    <w:p w14:paraId="69AD2485" w14:textId="459D7B28" w:rsidR="00CE6FBF" w:rsidRDefault="00CE6FBF" w:rsidP="00DA32D6">
      <w:pPr>
        <w:jc w:val="center"/>
        <w:rPr>
          <w:szCs w:val="24"/>
        </w:rPr>
      </w:pPr>
    </w:p>
    <w:p w14:paraId="523853C0" w14:textId="77777777" w:rsidR="00CE6FBF" w:rsidRDefault="00CE6FBF" w:rsidP="00DA32D6">
      <w:pPr>
        <w:pStyle w:val="Bibliography"/>
        <w:jc w:val="center"/>
      </w:pPr>
    </w:p>
    <w:p w14:paraId="3B30946E" w14:textId="77777777" w:rsidR="00CE6FBF" w:rsidRDefault="00CE6FBF" w:rsidP="00DA32D6">
      <w:pPr>
        <w:pStyle w:val="Bibliography"/>
        <w:jc w:val="center"/>
      </w:pPr>
    </w:p>
    <w:p w14:paraId="52A7AD56" w14:textId="77777777" w:rsidR="00CE6FBF" w:rsidRDefault="00CE6FBF" w:rsidP="00DA32D6">
      <w:pPr>
        <w:pStyle w:val="Bibliography"/>
        <w:jc w:val="center"/>
      </w:pPr>
    </w:p>
    <w:p w14:paraId="0B3E99A1" w14:textId="77777777" w:rsidR="00CE6FBF" w:rsidRDefault="00CE6FBF" w:rsidP="00DA32D6">
      <w:pPr>
        <w:pStyle w:val="Bibliography"/>
        <w:jc w:val="center"/>
      </w:pPr>
    </w:p>
    <w:p w14:paraId="20FF9D68" w14:textId="77777777" w:rsidR="00CE6FBF" w:rsidRDefault="00CE6FBF" w:rsidP="00DA32D6">
      <w:pPr>
        <w:pStyle w:val="Bibliography"/>
        <w:jc w:val="center"/>
      </w:pPr>
    </w:p>
    <w:p w14:paraId="69C3002A" w14:textId="77777777" w:rsidR="00CE6FBF" w:rsidRDefault="00CE6FBF" w:rsidP="00DA32D6">
      <w:pPr>
        <w:pStyle w:val="Bibliography"/>
        <w:jc w:val="center"/>
      </w:pPr>
    </w:p>
    <w:p w14:paraId="4C052614" w14:textId="77777777" w:rsidR="00CE6FBF" w:rsidRDefault="00CE6FBF" w:rsidP="00DA32D6">
      <w:pPr>
        <w:pStyle w:val="Bibliography"/>
        <w:jc w:val="center"/>
      </w:pPr>
    </w:p>
    <w:p w14:paraId="2121887C" w14:textId="77777777" w:rsidR="00CE6FBF" w:rsidRDefault="00CE6FBF" w:rsidP="00DA32D6">
      <w:pPr>
        <w:pStyle w:val="Bibliography"/>
        <w:jc w:val="center"/>
      </w:pPr>
    </w:p>
    <w:p w14:paraId="56DE56DE" w14:textId="77777777" w:rsidR="00CE6FBF" w:rsidRDefault="00CE6FBF" w:rsidP="00DA32D6">
      <w:pPr>
        <w:pStyle w:val="Bibliography"/>
        <w:jc w:val="center"/>
      </w:pPr>
    </w:p>
    <w:p w14:paraId="59CB1D68" w14:textId="77777777" w:rsidR="00CE6FBF" w:rsidRDefault="00CE6FBF" w:rsidP="00DA32D6">
      <w:pPr>
        <w:pStyle w:val="Bibliography"/>
        <w:jc w:val="center"/>
      </w:pPr>
    </w:p>
    <w:p w14:paraId="44D5BD6F" w14:textId="77777777" w:rsidR="00CE6FBF" w:rsidRDefault="00CE6FBF" w:rsidP="00DA32D6">
      <w:pPr>
        <w:pStyle w:val="Bibliography"/>
        <w:jc w:val="center"/>
      </w:pPr>
    </w:p>
    <w:p w14:paraId="307A4EB5" w14:textId="587AE7B5" w:rsidR="00CE6FBF" w:rsidRDefault="00CE6FBF" w:rsidP="00DA32D6">
      <w:pPr>
        <w:pStyle w:val="Bibliography"/>
        <w:jc w:val="center"/>
      </w:pPr>
    </w:p>
    <w:p w14:paraId="731FE433" w14:textId="77777777" w:rsidR="00CE6FBF" w:rsidRDefault="00CE6FBF" w:rsidP="00DA32D6">
      <w:pPr>
        <w:pStyle w:val="Bibliography"/>
        <w:jc w:val="center"/>
      </w:pPr>
    </w:p>
    <w:p w14:paraId="0E6CA387" w14:textId="0782FFB3" w:rsidR="00CE6FBF" w:rsidRDefault="00CE6FBF" w:rsidP="00DA32D6">
      <w:pPr>
        <w:pStyle w:val="Bibliography"/>
        <w:jc w:val="center"/>
      </w:pPr>
      <w:r>
        <w:t xml:space="preserve">Picture taken by author. Map of news. </w:t>
      </w:r>
    </w:p>
    <w:p w14:paraId="7E788C33" w14:textId="77777777" w:rsidR="00CE6FBF" w:rsidRDefault="00CE6FBF" w:rsidP="00DA32D6">
      <w:pPr>
        <w:pStyle w:val="Bibliography"/>
        <w:jc w:val="center"/>
      </w:pPr>
    </w:p>
    <w:p w14:paraId="421956A5" w14:textId="0C2A714C" w:rsidR="00CE6FBF" w:rsidRDefault="00CE6FBF" w:rsidP="00DA32D6">
      <w:pPr>
        <w:pStyle w:val="Bibliography"/>
        <w:jc w:val="center"/>
      </w:pPr>
    </w:p>
    <w:p w14:paraId="51D1A2A3" w14:textId="3946CF79" w:rsidR="00CE6FBF" w:rsidRDefault="00CE6FBF" w:rsidP="00DA32D6">
      <w:pPr>
        <w:pStyle w:val="Bibliography"/>
        <w:jc w:val="center"/>
      </w:pPr>
    </w:p>
    <w:p w14:paraId="5F30B4F3" w14:textId="4A729788" w:rsidR="00CE6FBF" w:rsidRDefault="00CE6FBF" w:rsidP="00DA32D6">
      <w:pPr>
        <w:pStyle w:val="Bibliography"/>
        <w:jc w:val="center"/>
      </w:pPr>
    </w:p>
    <w:p w14:paraId="49DFDC31" w14:textId="706B52D1" w:rsidR="00CE6FBF" w:rsidRDefault="00CE6FBF" w:rsidP="00DA32D6">
      <w:pPr>
        <w:pStyle w:val="Bibliography"/>
        <w:jc w:val="center"/>
      </w:pPr>
    </w:p>
    <w:p w14:paraId="5AEB2E82" w14:textId="572E5F7A" w:rsidR="00CE6FBF" w:rsidRDefault="00CE6FBF" w:rsidP="00DA32D6">
      <w:pPr>
        <w:pStyle w:val="Bibliography"/>
        <w:jc w:val="center"/>
      </w:pPr>
    </w:p>
    <w:p w14:paraId="19344F67" w14:textId="2D73C762" w:rsidR="00CE6FBF" w:rsidRDefault="00CE6FBF" w:rsidP="00DA32D6">
      <w:pPr>
        <w:pStyle w:val="Bibliography"/>
        <w:jc w:val="center"/>
      </w:pPr>
    </w:p>
    <w:p w14:paraId="79CA5004" w14:textId="09152D4A" w:rsidR="00CE6FBF" w:rsidRDefault="00CE6FBF" w:rsidP="00DA32D6">
      <w:pPr>
        <w:pStyle w:val="Bibliography"/>
        <w:jc w:val="center"/>
      </w:pPr>
    </w:p>
    <w:p w14:paraId="2133DE17" w14:textId="264DDDE0" w:rsidR="00CE6FBF" w:rsidRDefault="00CE6FBF" w:rsidP="00DA32D6">
      <w:pPr>
        <w:pStyle w:val="Bibliography"/>
        <w:jc w:val="center"/>
      </w:pPr>
      <w:r>
        <w:rPr>
          <w:noProof/>
          <w:szCs w:val="24"/>
        </w:rPr>
        <w:drawing>
          <wp:anchor distT="0" distB="0" distL="114300" distR="114300" simplePos="0" relativeHeight="251662336" behindDoc="0" locked="0" layoutInCell="1" allowOverlap="1" wp14:anchorId="202D563A" wp14:editId="5019DF6C">
            <wp:simplePos x="0" y="0"/>
            <wp:positionH relativeFrom="column">
              <wp:posOffset>171450</wp:posOffset>
            </wp:positionH>
            <wp:positionV relativeFrom="page">
              <wp:posOffset>2771775</wp:posOffset>
            </wp:positionV>
            <wp:extent cx="5943600" cy="281813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of Holocaust Muesum Onlin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818130"/>
                    </a:xfrm>
                    <a:prstGeom prst="rect">
                      <a:avLst/>
                    </a:prstGeom>
                  </pic:spPr>
                </pic:pic>
              </a:graphicData>
            </a:graphic>
          </wp:anchor>
        </w:drawing>
      </w:r>
    </w:p>
    <w:p w14:paraId="56B3FEB1" w14:textId="7D41038F" w:rsidR="00CE6FBF" w:rsidRDefault="00CE6FBF" w:rsidP="00DA32D6">
      <w:pPr>
        <w:pStyle w:val="Bibliography"/>
        <w:jc w:val="center"/>
      </w:pPr>
    </w:p>
    <w:p w14:paraId="3F21E00C" w14:textId="4CC7C972" w:rsidR="00CE6FBF" w:rsidRPr="00CE6FBF" w:rsidRDefault="00CE6FBF" w:rsidP="00CE6FBF">
      <w:pPr>
        <w:jc w:val="center"/>
        <w:rPr>
          <w:szCs w:val="24"/>
        </w:rPr>
      </w:pPr>
      <w:r>
        <w:rPr>
          <w:szCs w:val="24"/>
        </w:rPr>
        <w:t>Front page of Holocaust online exhibition. Notice the Feedback button on the lower-right corner.</w:t>
      </w:r>
    </w:p>
    <w:p w14:paraId="477444B1" w14:textId="3BBC3AA0" w:rsidR="00DA32D6" w:rsidRPr="00BB6FF3" w:rsidRDefault="00DA32D6" w:rsidP="00DA32D6">
      <w:pPr>
        <w:pStyle w:val="Bibliography"/>
        <w:jc w:val="center"/>
      </w:pPr>
      <w:r>
        <w:fldChar w:fldCharType="begin"/>
      </w:r>
      <w:r>
        <w:instrText xml:space="preserve"> ADDIN ZOTERO_BIBL {"uncited":[],"omitted":[],"custom":[]} CSL_BIBLIOGRAPHY </w:instrText>
      </w:r>
      <w:r>
        <w:fldChar w:fldCharType="separate"/>
      </w:r>
      <w:r w:rsidRPr="00BB6FF3">
        <w:t>“Americans - United States Holocaust Memorial Museum.” Accessed February 4, 2020. https://exhibitions.ushmm.org/americans-and-the-holocaust/main.</w:t>
      </w:r>
    </w:p>
    <w:p w14:paraId="19C4EC70" w14:textId="67545245" w:rsidR="00DA32D6" w:rsidRDefault="00DA32D6" w:rsidP="00DA32D6">
      <w:pPr>
        <w:jc w:val="center"/>
        <w:rPr>
          <w:szCs w:val="24"/>
        </w:rPr>
      </w:pPr>
      <w:r>
        <w:rPr>
          <w:szCs w:val="24"/>
        </w:rPr>
        <w:fldChar w:fldCharType="end"/>
      </w:r>
      <w:r>
        <w:rPr>
          <w:szCs w:val="24"/>
        </w:rPr>
        <w:br w:type="page"/>
      </w:r>
    </w:p>
    <w:p w14:paraId="457A043B" w14:textId="294E6B6A" w:rsidR="00955499" w:rsidRDefault="0068627A" w:rsidP="0068627A">
      <w:pPr>
        <w:jc w:val="center"/>
        <w:rPr>
          <w:szCs w:val="24"/>
        </w:rPr>
      </w:pPr>
      <w:r>
        <w:rPr>
          <w:szCs w:val="24"/>
        </w:rPr>
        <w:lastRenderedPageBreak/>
        <w:t>Bibliography</w:t>
      </w:r>
    </w:p>
    <w:p w14:paraId="07895089" w14:textId="39E33E82" w:rsidR="0068627A" w:rsidRDefault="0068627A" w:rsidP="0068627A">
      <w:pPr>
        <w:jc w:val="center"/>
        <w:rPr>
          <w:szCs w:val="24"/>
        </w:rPr>
      </w:pPr>
    </w:p>
    <w:p w14:paraId="1411081B" w14:textId="6EA46E37" w:rsidR="00BB6FF3" w:rsidRPr="00BB6FF3" w:rsidRDefault="00BB6FF3" w:rsidP="00BB6FF3">
      <w:pPr>
        <w:pStyle w:val="Bibliography"/>
      </w:pPr>
      <w:r>
        <w:fldChar w:fldCharType="begin"/>
      </w:r>
      <w:r>
        <w:instrText xml:space="preserve"> ADDIN ZOTERO_BIBL {"uncited":[],"omitted":[],"custom":[]} CSL_BIBLIOGRAPHY </w:instrText>
      </w:r>
      <w:r>
        <w:fldChar w:fldCharType="separate"/>
      </w:r>
      <w:r w:rsidRPr="00BB6FF3">
        <w:t>“Americans - United States Holocaust Memorial Museum.” Accessed February 4, 2020. https://exhibitions.ushmm.org/americans-and-the-holocaust/main.</w:t>
      </w:r>
    </w:p>
    <w:p w14:paraId="5DE1D78B" w14:textId="26B09551" w:rsidR="0068627A" w:rsidRDefault="00BB6FF3" w:rsidP="0068627A">
      <w:pPr>
        <w:jc w:val="center"/>
        <w:rPr>
          <w:szCs w:val="24"/>
        </w:rPr>
      </w:pPr>
      <w:r>
        <w:rPr>
          <w:szCs w:val="24"/>
        </w:rPr>
        <w:fldChar w:fldCharType="end"/>
      </w:r>
      <w:r w:rsidR="007B30C5">
        <w:rPr>
          <w:szCs w:val="24"/>
        </w:rPr>
        <w:t xml:space="preserve"> </w:t>
      </w:r>
    </w:p>
    <w:p w14:paraId="0F24F81D" w14:textId="5902EAAC" w:rsidR="00BB6FF3" w:rsidRPr="00E47B10" w:rsidRDefault="00BB6FF3" w:rsidP="00BB6FF3">
      <w:pPr>
        <w:rPr>
          <w:szCs w:val="24"/>
        </w:rPr>
      </w:pPr>
      <w:r>
        <w:t xml:space="preserve">Pelsang, Chester. </w:t>
      </w:r>
      <w:r>
        <w:rPr>
          <w:i/>
          <w:iCs/>
        </w:rPr>
        <w:t>Americans and the Holocaust</w:t>
      </w:r>
      <w:r>
        <w:t xml:space="preserve">. Entrance </w:t>
      </w:r>
      <w:r w:rsidR="00CE6FBF">
        <w:t>Introduction</w:t>
      </w:r>
      <w:r>
        <w:t>, First Panel, Opinion Poll, and Map of News. United States Holocaust Memorial Museum: Washington, D.C., 2020.</w:t>
      </w:r>
      <w:r>
        <w:rPr>
          <w:szCs w:val="24"/>
        </w:rPr>
        <w:t xml:space="preserve"> </w:t>
      </w:r>
    </w:p>
    <w:p w14:paraId="2068976B" w14:textId="6683553A" w:rsidR="00E47B10" w:rsidRPr="00E47B10" w:rsidRDefault="00E47B10" w:rsidP="00E47B10">
      <w:pPr>
        <w:rPr>
          <w:szCs w:val="24"/>
        </w:rPr>
      </w:pPr>
    </w:p>
    <w:sectPr w:rsidR="00E47B10" w:rsidRPr="00E47B10">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D372E0" w14:textId="77777777" w:rsidR="007647BA" w:rsidRDefault="007647BA" w:rsidP="00E47B10">
      <w:r>
        <w:separator/>
      </w:r>
    </w:p>
  </w:endnote>
  <w:endnote w:type="continuationSeparator" w:id="0">
    <w:p w14:paraId="68B451B0" w14:textId="77777777" w:rsidR="007647BA" w:rsidRDefault="007647BA" w:rsidP="00E47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A66A81" w14:textId="77777777" w:rsidR="007647BA" w:rsidRDefault="007647BA" w:rsidP="00E47B10">
      <w:r>
        <w:separator/>
      </w:r>
    </w:p>
  </w:footnote>
  <w:footnote w:type="continuationSeparator" w:id="0">
    <w:p w14:paraId="041DFB70" w14:textId="77777777" w:rsidR="007647BA" w:rsidRDefault="007647BA" w:rsidP="00E47B10">
      <w:r>
        <w:continuationSeparator/>
      </w:r>
    </w:p>
  </w:footnote>
  <w:footnote w:id="1">
    <w:p w14:paraId="77854893" w14:textId="24A8723B" w:rsidR="0068627A" w:rsidRPr="002713EA" w:rsidRDefault="0068627A">
      <w:pPr>
        <w:pStyle w:val="FootnoteText"/>
        <w:rPr>
          <w:i/>
          <w:iCs/>
        </w:rPr>
      </w:pPr>
      <w:r>
        <w:rPr>
          <w:rStyle w:val="FootnoteReference"/>
        </w:rPr>
        <w:footnoteRef/>
      </w:r>
      <w:r>
        <w:t xml:space="preserve"> See Appendix for: Chester Pelsang, </w:t>
      </w:r>
      <w:r>
        <w:rPr>
          <w:i/>
          <w:iCs/>
        </w:rPr>
        <w:t>Americans and the Holocaust</w:t>
      </w:r>
      <w:r>
        <w:t xml:space="preserve">, Entrance </w:t>
      </w:r>
      <w:r w:rsidR="00CE6FBF">
        <w:t>Introduction</w:t>
      </w:r>
      <w:r>
        <w:t>, United States Holocaust Memorial Museum: Washington, D.C., 2020.</w:t>
      </w:r>
    </w:p>
  </w:footnote>
  <w:footnote w:id="2">
    <w:p w14:paraId="362FBD1C" w14:textId="16BF11B4" w:rsidR="0068627A" w:rsidRDefault="0068627A">
      <w:pPr>
        <w:pStyle w:val="FootnoteText"/>
      </w:pPr>
      <w:r>
        <w:rPr>
          <w:rStyle w:val="FootnoteReference"/>
        </w:rPr>
        <w:footnoteRef/>
      </w:r>
      <w:r>
        <w:t xml:space="preserve"> See Appendix for: Chester Pelsang, </w:t>
      </w:r>
      <w:r>
        <w:rPr>
          <w:i/>
          <w:iCs/>
        </w:rPr>
        <w:t>Americans and the Holocaust</w:t>
      </w:r>
      <w:r>
        <w:t xml:space="preserve">, First Panel of </w:t>
      </w:r>
      <w:r>
        <w:rPr>
          <w:i/>
          <w:iCs/>
        </w:rPr>
        <w:t>Time Magazine</w:t>
      </w:r>
      <w:r>
        <w:t xml:space="preserve">, United States Holocaust Memorial Museum: Washington, D.C., 2020 </w:t>
      </w:r>
      <w:r>
        <w:rPr>
          <w:i/>
          <w:iCs/>
        </w:rPr>
        <w:t xml:space="preserve"> </w:t>
      </w:r>
    </w:p>
  </w:footnote>
  <w:footnote w:id="3">
    <w:p w14:paraId="47508E7B" w14:textId="61FD16F9" w:rsidR="0068627A" w:rsidRDefault="0068627A">
      <w:pPr>
        <w:pStyle w:val="FootnoteText"/>
      </w:pPr>
      <w:r>
        <w:rPr>
          <w:rStyle w:val="FootnoteReference"/>
        </w:rPr>
        <w:footnoteRef/>
      </w:r>
      <w:r>
        <w:t xml:space="preserve"> Chester Pelsang, </w:t>
      </w:r>
      <w:r>
        <w:rPr>
          <w:i/>
          <w:iCs/>
        </w:rPr>
        <w:t>Americans and the Holocaust</w:t>
      </w:r>
      <w:r>
        <w:t xml:space="preserve">, Opinion Poll, United States Holocaust Memorial Museum: Washington, D.C., 2020 </w:t>
      </w:r>
      <w:r>
        <w:rPr>
          <w:i/>
          <w:iCs/>
        </w:rPr>
        <w:t xml:space="preserve"> </w:t>
      </w:r>
    </w:p>
  </w:footnote>
  <w:footnote w:id="4">
    <w:p w14:paraId="2F921C91" w14:textId="6D72FA0D" w:rsidR="0068627A" w:rsidRDefault="0068627A">
      <w:pPr>
        <w:pStyle w:val="FootnoteText"/>
      </w:pPr>
      <w:r>
        <w:rPr>
          <w:rStyle w:val="FootnoteReference"/>
        </w:rPr>
        <w:footnoteRef/>
      </w:r>
      <w:r>
        <w:t xml:space="preserve"> Chester Pelsang, </w:t>
      </w:r>
      <w:r>
        <w:rPr>
          <w:i/>
          <w:iCs/>
        </w:rPr>
        <w:t>Americans and the Holocaust</w:t>
      </w:r>
      <w:r>
        <w:t xml:space="preserve">, Map of News, United States Holocaust Memorial Museum: Washington, D.C., 2020 </w:t>
      </w:r>
      <w:r>
        <w:rPr>
          <w:i/>
          <w:iCs/>
        </w:rPr>
        <w:t xml:space="preserve"> </w:t>
      </w:r>
    </w:p>
  </w:footnote>
  <w:footnote w:id="5">
    <w:p w14:paraId="1D90BF6D" w14:textId="1DD1D07D" w:rsidR="0068627A" w:rsidRDefault="0068627A">
      <w:pPr>
        <w:pStyle w:val="FootnoteText"/>
      </w:pPr>
      <w:r>
        <w:rPr>
          <w:rStyle w:val="FootnoteReference"/>
        </w:rPr>
        <w:footnoteRef/>
      </w:r>
      <w:r>
        <w:t xml:space="preserve"> </w:t>
      </w:r>
      <w:r>
        <w:fldChar w:fldCharType="begin"/>
      </w:r>
      <w:r>
        <w:instrText xml:space="preserve"> ADDIN ZOTERO_ITEM CSL_CITATION {"citationID":"ygp0uU1S","properties":{"formattedCitation":"\\uc0\\u8220{}Americans - United States Holocaust Memorial Museum,\\uc0\\u8221{} accessed February 4, 2020, https://exhibitions.ushmm.org/americans-and-the-holocaust/main.","plainCitation":"“Americans - United States Holocaust Memorial Museum,” accessed February 4, 2020, https://exhibitions.ushmm.org/americans-and-the-holocaust/main.","noteIndex":5},"citationItems":[{"id":261,"uris":["http://zotero.org/users/5995410/items/KUHAVKNK"],"uri":["http://zotero.org/users/5995410/items/KUHAVKNK"],"itemData":{"id":261,"type":"webpage","abstract":"This exhibition examines the motives, pressures, and fears that shaped Americans’ responses to Nazism, war, and genocide.","language":"en","title":"Americans - United States Holocaust Memorial Museum","URL":"https://exhibitions.ushmm.org/americans-and-the-holocaust/main","accessed":{"date-parts":[["2020",2,4]]}}}],"schema":"https://github.com/citation-style-language/schema/raw/master/csl-citation.json"} </w:instrText>
      </w:r>
      <w:r>
        <w:fldChar w:fldCharType="separate"/>
      </w:r>
      <w:r w:rsidRPr="00C822C5">
        <w:rPr>
          <w:szCs w:val="24"/>
        </w:rPr>
        <w:t>“Americans - United States Holocaust Memorial Museum,” accessed February 4, 2020, https://exhibitions.ushmm.org/americans-and-the-holocaust/main.</w:t>
      </w:r>
      <w:r>
        <w:fldChar w:fldCharType="end"/>
      </w:r>
    </w:p>
  </w:footnote>
  <w:footnote w:id="6">
    <w:p w14:paraId="691C88AD" w14:textId="01CCBD07" w:rsidR="0068627A" w:rsidRDefault="0068627A">
      <w:pPr>
        <w:pStyle w:val="FootnoteText"/>
      </w:pPr>
      <w:r>
        <w:rPr>
          <w:rStyle w:val="FootnoteReference"/>
        </w:rPr>
        <w:footnoteRef/>
      </w:r>
      <w:r>
        <w:t xml:space="preserve"> </w:t>
      </w:r>
      <w:r>
        <w:fldChar w:fldCharType="begin"/>
      </w:r>
      <w:r>
        <w:instrText xml:space="preserve"> ADDIN ZOTERO_ITEM CSL_CITATION {"citationID":"bEsbH1X6","properties":{"formattedCitation":"\\uc0\\u8220{}Americans - United States Holocaust Memorial Museum.\\uc0\\u8221{}","plainCitation":"“Americans - United States Holocaust Memorial Museum.”","noteIndex":6},"citationItems":[{"id":261,"uris":["http://zotero.org/users/5995410/items/KUHAVKNK"],"uri":["http://zotero.org/users/5995410/items/KUHAVKNK"],"itemData":{"id":261,"type":"webpage","abstract":"This exhibition examines the motives, pressures, and fears that shaped Americans’ responses to Nazism, war, and genocide.","language":"en","title":"Americans - United States Holocaust Memorial Museum","URL":"https://exhibitions.ushmm.org/americans-and-the-holocaust/main","accessed":{"date-parts":[["2020",2,4]]}}}],"schema":"https://github.com/citation-style-language/schema/raw/master/csl-citation.json"} </w:instrText>
      </w:r>
      <w:r>
        <w:fldChar w:fldCharType="separate"/>
      </w:r>
      <w:r w:rsidRPr="00026C1A">
        <w:rPr>
          <w:szCs w:val="24"/>
        </w:rPr>
        <w:t>“Americans - United States Holocaust Memorial Museum.”</w:t>
      </w:r>
      <w:r>
        <w:fldChar w:fldCharType="end"/>
      </w:r>
      <w:r>
        <w:t xml:space="preserve"> </w:t>
      </w:r>
      <w:hyperlink r:id="rId1" w:history="1">
        <w:r>
          <w:rPr>
            <w:rStyle w:val="Hyperlink"/>
          </w:rPr>
          <w:t>https://docs.google.com/forms/d/e/1FAIpQLScQurTGZRKtA9bzvr2qvJWfT2AyVIGRZ5Y-ihgO7KUPXtMDhQ/viewform</w:t>
        </w:r>
      </w:hyperlink>
      <w:r>
        <w:t>.</w:t>
      </w:r>
    </w:p>
  </w:footnote>
  <w:footnote w:id="7">
    <w:p w14:paraId="7A236FBA" w14:textId="13FD2D7D" w:rsidR="0068627A" w:rsidRDefault="0068627A">
      <w:pPr>
        <w:pStyle w:val="FootnoteText"/>
      </w:pPr>
      <w:r>
        <w:rPr>
          <w:rStyle w:val="FootnoteReference"/>
        </w:rPr>
        <w:footnoteRef/>
      </w:r>
      <w:r>
        <w:t xml:space="preserve"> See Appendix. </w:t>
      </w:r>
    </w:p>
  </w:footnote>
  <w:footnote w:id="8">
    <w:p w14:paraId="5D9C3D48" w14:textId="5C1058B3" w:rsidR="0068627A" w:rsidRDefault="0068627A">
      <w:pPr>
        <w:pStyle w:val="FootnoteText"/>
      </w:pPr>
      <w:r>
        <w:rPr>
          <w:rStyle w:val="FootnoteReference"/>
        </w:rPr>
        <w:footnoteRef/>
      </w:r>
      <w:r>
        <w:t xml:space="preserve"> See this link for website front page: </w:t>
      </w:r>
      <w:r>
        <w:fldChar w:fldCharType="begin"/>
      </w:r>
      <w:r>
        <w:instrText xml:space="preserve"> ADDIN ZOTERO_ITEM CSL_CITATION {"citationID":"gmxj5Hd8","properties":{"formattedCitation":"\\uc0\\u8220{}Americans - United States Holocaust Memorial Museum.\\uc0\\u8221{}","plainCitation":"“Americans - United States Holocaust Memorial Museum.”","noteIndex":8},"citationItems":[{"id":261,"uris":["http://zotero.org/users/5995410/items/KUHAVKNK"],"uri":["http://zotero.org/users/5995410/items/KUHAVKNK"],"itemData":{"id":261,"type":"webpage","abstract":"This exhibition examines the motives, pressures, and fears that shaped Americans’ responses to Nazism, war, and genocide.","language":"en","title":"Americans - United States Holocaust Memorial Museum","URL":"https://exhibitions.ushmm.org/americans-and-the-holocaust/main","accessed":{"date-parts":[["2020",2,4]]}}}],"schema":"https://github.com/citation-style-language/schema/raw/master/csl-citation.json"} </w:instrText>
      </w:r>
      <w:r>
        <w:fldChar w:fldCharType="separate"/>
      </w:r>
      <w:r w:rsidRPr="00026C1A">
        <w:rPr>
          <w:szCs w:val="24"/>
        </w:rPr>
        <w:t>“Americans - United States Holocaust Memorial Museum</w:t>
      </w:r>
      <w:r>
        <w:rPr>
          <w:szCs w:val="24"/>
        </w:rPr>
        <w:t>,</w:t>
      </w:r>
      <w:r w:rsidRPr="00026C1A">
        <w:rPr>
          <w:szCs w:val="24"/>
        </w:rPr>
        <w:t>”</w:t>
      </w:r>
      <w:r>
        <w:fldChar w:fldCharType="end"/>
      </w:r>
      <w:r>
        <w:t xml:space="preserve"> </w:t>
      </w:r>
      <w:r w:rsidRPr="00C822C5">
        <w:rPr>
          <w:szCs w:val="24"/>
        </w:rPr>
        <w:t>https://exhibitions.ushmm.org/americans-and-the-holocaust/main.</w:t>
      </w:r>
      <w:r>
        <w:t xml:space="preserve"> </w:t>
      </w:r>
    </w:p>
  </w:footnote>
  <w:footnote w:id="9">
    <w:p w14:paraId="50CACCE9" w14:textId="7FB7690D" w:rsidR="0068627A" w:rsidRDefault="0068627A">
      <w:pPr>
        <w:pStyle w:val="FootnoteText"/>
      </w:pPr>
      <w:r>
        <w:rPr>
          <w:rStyle w:val="FootnoteReference"/>
        </w:rPr>
        <w:footnoteRef/>
      </w:r>
      <w:r>
        <w:t xml:space="preserve"> See Appendix for picture: Chester Pelsang, </w:t>
      </w:r>
      <w:r>
        <w:fldChar w:fldCharType="begin"/>
      </w:r>
      <w:r>
        <w:instrText xml:space="preserve"> ADDIN ZOTERO_ITEM CSL_CITATION {"citationID":"20OERbVu","properties":{"formattedCitation":"\\uc0\\u8220{}Americans - United States Holocaust Memorial Museum.\\uc0\\u8221{}","plainCitation":"“Americans - United States Holocaust Memorial Museum.”","noteIndex":9},"citationItems":[{"id":261,"uris":["http://zotero.org/users/5995410/items/KUHAVKNK"],"uri":["http://zotero.org/users/5995410/items/KUHAVKNK"],"itemData":{"id":261,"type":"webpage","abstract":"This exhibition examines the motives, pressures, and fears that shaped Americans’ responses to Nazism, war, and genocide.","language":"en","title":"Americans - United States Holocaust Memorial Museum","URL":"https://exhibitions.ushmm.org/americans-and-the-holocaust/main","accessed":{"date-parts":[["2020",2,4]]}}}],"schema":"https://github.com/citation-style-language/schema/raw/master/csl-citation.json"} </w:instrText>
      </w:r>
      <w:r>
        <w:fldChar w:fldCharType="separate"/>
      </w:r>
      <w:r w:rsidRPr="00026C1A">
        <w:rPr>
          <w:szCs w:val="24"/>
        </w:rPr>
        <w:t>“Americans - United States Holocaust Memorial Museum.”</w:t>
      </w: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65D87" w14:textId="016C97C4" w:rsidR="0068627A" w:rsidRDefault="00C16985">
    <w:pPr>
      <w:pStyle w:val="Header"/>
      <w:jc w:val="right"/>
    </w:pPr>
    <w:r>
      <w:rPr>
        <w:rFonts w:eastAsia="Times New Roman"/>
        <w:i/>
        <w:iCs/>
        <w:color w:val="323232"/>
        <w:szCs w:val="24"/>
      </w:rPr>
      <w:t>Americans and the Holocaust</w:t>
    </w:r>
    <w:r>
      <w:t xml:space="preserve"> - </w:t>
    </w:r>
    <w:r w:rsidR="0068627A">
      <w:t xml:space="preserve">Pelsang </w:t>
    </w:r>
    <w:sdt>
      <w:sdtPr>
        <w:id w:val="-2107411987"/>
        <w:docPartObj>
          <w:docPartGallery w:val="Page Numbers (Top of Page)"/>
          <w:docPartUnique/>
        </w:docPartObj>
      </w:sdtPr>
      <w:sdtEndPr>
        <w:rPr>
          <w:noProof/>
        </w:rPr>
      </w:sdtEndPr>
      <w:sdtContent>
        <w:r w:rsidR="0068627A">
          <w:fldChar w:fldCharType="begin"/>
        </w:r>
        <w:r w:rsidR="0068627A">
          <w:instrText xml:space="preserve"> PAGE   \* MERGEFORMAT </w:instrText>
        </w:r>
        <w:r w:rsidR="0068627A">
          <w:fldChar w:fldCharType="separate"/>
        </w:r>
        <w:r w:rsidR="0068627A">
          <w:rPr>
            <w:noProof/>
          </w:rPr>
          <w:t>2</w:t>
        </w:r>
        <w:r w:rsidR="0068627A">
          <w:rPr>
            <w:noProof/>
          </w:rPr>
          <w:fldChar w:fldCharType="end"/>
        </w:r>
      </w:sdtContent>
    </w:sdt>
  </w:p>
  <w:p w14:paraId="5119796F" w14:textId="77777777" w:rsidR="0068627A" w:rsidRDefault="006862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0305E7"/>
    <w:multiLevelType w:val="multilevel"/>
    <w:tmpl w:val="37482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AC37D97"/>
    <w:multiLevelType w:val="multilevel"/>
    <w:tmpl w:val="CBAE6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509"/>
    <w:rsid w:val="00002C51"/>
    <w:rsid w:val="00026C1A"/>
    <w:rsid w:val="000A40CB"/>
    <w:rsid w:val="001543EF"/>
    <w:rsid w:val="00176222"/>
    <w:rsid w:val="001D7DA2"/>
    <w:rsid w:val="00216E11"/>
    <w:rsid w:val="0026152A"/>
    <w:rsid w:val="002713EA"/>
    <w:rsid w:val="00297AE8"/>
    <w:rsid w:val="002D39A1"/>
    <w:rsid w:val="00344F91"/>
    <w:rsid w:val="00362CDC"/>
    <w:rsid w:val="00365029"/>
    <w:rsid w:val="00373936"/>
    <w:rsid w:val="00375C22"/>
    <w:rsid w:val="003C0D3B"/>
    <w:rsid w:val="0043210C"/>
    <w:rsid w:val="004336F1"/>
    <w:rsid w:val="00484A88"/>
    <w:rsid w:val="004A1509"/>
    <w:rsid w:val="004A65F8"/>
    <w:rsid w:val="004B46CD"/>
    <w:rsid w:val="004C6223"/>
    <w:rsid w:val="00533AE1"/>
    <w:rsid w:val="00536003"/>
    <w:rsid w:val="00557ECB"/>
    <w:rsid w:val="005F3BA3"/>
    <w:rsid w:val="00601AA1"/>
    <w:rsid w:val="00624829"/>
    <w:rsid w:val="00674139"/>
    <w:rsid w:val="0068627A"/>
    <w:rsid w:val="0069525E"/>
    <w:rsid w:val="006E231F"/>
    <w:rsid w:val="007306DE"/>
    <w:rsid w:val="007647BA"/>
    <w:rsid w:val="007B30C5"/>
    <w:rsid w:val="007C70AD"/>
    <w:rsid w:val="008206AC"/>
    <w:rsid w:val="00822331"/>
    <w:rsid w:val="008B2AC8"/>
    <w:rsid w:val="008F6849"/>
    <w:rsid w:val="00937A0F"/>
    <w:rsid w:val="00955499"/>
    <w:rsid w:val="0098428D"/>
    <w:rsid w:val="009A43C4"/>
    <w:rsid w:val="00A30A20"/>
    <w:rsid w:val="00A869B4"/>
    <w:rsid w:val="00AA64A1"/>
    <w:rsid w:val="00AF723B"/>
    <w:rsid w:val="00BA23BE"/>
    <w:rsid w:val="00BB6FF3"/>
    <w:rsid w:val="00C14823"/>
    <w:rsid w:val="00C16985"/>
    <w:rsid w:val="00C25E93"/>
    <w:rsid w:val="00C4466C"/>
    <w:rsid w:val="00C822C5"/>
    <w:rsid w:val="00CE6FBF"/>
    <w:rsid w:val="00D07C32"/>
    <w:rsid w:val="00D33473"/>
    <w:rsid w:val="00D42E0E"/>
    <w:rsid w:val="00D44776"/>
    <w:rsid w:val="00D5130D"/>
    <w:rsid w:val="00D94733"/>
    <w:rsid w:val="00DA32D6"/>
    <w:rsid w:val="00DE05B1"/>
    <w:rsid w:val="00E47B10"/>
    <w:rsid w:val="00E64810"/>
    <w:rsid w:val="00E91633"/>
    <w:rsid w:val="00EE124D"/>
    <w:rsid w:val="00F0462D"/>
    <w:rsid w:val="00F41F4C"/>
    <w:rsid w:val="00FD02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20B31"/>
  <w15:chartTrackingRefBased/>
  <w15:docId w15:val="{B4E5E48A-2821-4DD8-A9C2-01B49E59F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7B10"/>
    <w:pPr>
      <w:tabs>
        <w:tab w:val="center" w:pos="4680"/>
        <w:tab w:val="right" w:pos="9360"/>
      </w:tabs>
    </w:pPr>
  </w:style>
  <w:style w:type="character" w:customStyle="1" w:styleId="HeaderChar">
    <w:name w:val="Header Char"/>
    <w:basedOn w:val="DefaultParagraphFont"/>
    <w:link w:val="Header"/>
    <w:uiPriority w:val="99"/>
    <w:rsid w:val="00E47B10"/>
  </w:style>
  <w:style w:type="paragraph" w:styleId="Footer">
    <w:name w:val="footer"/>
    <w:basedOn w:val="Normal"/>
    <w:link w:val="FooterChar"/>
    <w:uiPriority w:val="99"/>
    <w:unhideWhenUsed/>
    <w:rsid w:val="00E47B10"/>
    <w:pPr>
      <w:tabs>
        <w:tab w:val="center" w:pos="4680"/>
        <w:tab w:val="right" w:pos="9360"/>
      </w:tabs>
    </w:pPr>
  </w:style>
  <w:style w:type="character" w:customStyle="1" w:styleId="FooterChar">
    <w:name w:val="Footer Char"/>
    <w:basedOn w:val="DefaultParagraphFont"/>
    <w:link w:val="Footer"/>
    <w:uiPriority w:val="99"/>
    <w:rsid w:val="00E47B10"/>
  </w:style>
  <w:style w:type="paragraph" w:styleId="FootnoteText">
    <w:name w:val="footnote text"/>
    <w:basedOn w:val="Normal"/>
    <w:link w:val="FootnoteTextChar"/>
    <w:uiPriority w:val="99"/>
    <w:semiHidden/>
    <w:unhideWhenUsed/>
    <w:rsid w:val="00D44776"/>
    <w:rPr>
      <w:sz w:val="20"/>
      <w:szCs w:val="20"/>
    </w:rPr>
  </w:style>
  <w:style w:type="character" w:customStyle="1" w:styleId="FootnoteTextChar">
    <w:name w:val="Footnote Text Char"/>
    <w:basedOn w:val="DefaultParagraphFont"/>
    <w:link w:val="FootnoteText"/>
    <w:uiPriority w:val="99"/>
    <w:semiHidden/>
    <w:rsid w:val="00D44776"/>
    <w:rPr>
      <w:sz w:val="20"/>
      <w:szCs w:val="20"/>
    </w:rPr>
  </w:style>
  <w:style w:type="character" w:styleId="FootnoteReference">
    <w:name w:val="footnote reference"/>
    <w:basedOn w:val="DefaultParagraphFont"/>
    <w:uiPriority w:val="99"/>
    <w:semiHidden/>
    <w:unhideWhenUsed/>
    <w:rsid w:val="00D44776"/>
    <w:rPr>
      <w:vertAlign w:val="superscript"/>
    </w:rPr>
  </w:style>
  <w:style w:type="character" w:styleId="Hyperlink">
    <w:name w:val="Hyperlink"/>
    <w:basedOn w:val="DefaultParagraphFont"/>
    <w:uiPriority w:val="99"/>
    <w:semiHidden/>
    <w:unhideWhenUsed/>
    <w:rsid w:val="00BA23BE"/>
    <w:rPr>
      <w:color w:val="0000FF"/>
      <w:u w:val="single"/>
    </w:rPr>
  </w:style>
  <w:style w:type="character" w:styleId="FollowedHyperlink">
    <w:name w:val="FollowedHyperlink"/>
    <w:basedOn w:val="DefaultParagraphFont"/>
    <w:uiPriority w:val="99"/>
    <w:semiHidden/>
    <w:unhideWhenUsed/>
    <w:rsid w:val="000A40CB"/>
    <w:rPr>
      <w:color w:val="954F72" w:themeColor="followedHyperlink"/>
      <w:u w:val="single"/>
    </w:rPr>
  </w:style>
  <w:style w:type="paragraph" w:styleId="Bibliography">
    <w:name w:val="Bibliography"/>
    <w:basedOn w:val="Normal"/>
    <w:next w:val="Normal"/>
    <w:uiPriority w:val="37"/>
    <w:unhideWhenUsed/>
    <w:rsid w:val="00BB6FF3"/>
    <w:pPr>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502539">
      <w:bodyDiv w:val="1"/>
      <w:marLeft w:val="0"/>
      <w:marRight w:val="0"/>
      <w:marTop w:val="0"/>
      <w:marBottom w:val="0"/>
      <w:divBdr>
        <w:top w:val="none" w:sz="0" w:space="0" w:color="auto"/>
        <w:left w:val="none" w:sz="0" w:space="0" w:color="auto"/>
        <w:bottom w:val="none" w:sz="0" w:space="0" w:color="auto"/>
        <w:right w:val="none" w:sz="0" w:space="0" w:color="auto"/>
      </w:divBdr>
    </w:div>
    <w:div w:id="1499156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docs.google.com/forms/d/e/1FAIpQLScQurTGZRKtA9bzvr2qvJWfT2AyVIGRZ5Y-ihgO7KUPXtMDhQ/view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B48A9ABB-6B85-4895-9186-BDCC16F1F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1515</Words>
  <Characters>8636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Chester Pelsang IV</dc:creator>
  <cp:keywords/>
  <dc:description/>
  <cp:lastModifiedBy>Chester Pelsang IV</cp:lastModifiedBy>
  <cp:revision>71</cp:revision>
  <cp:lastPrinted>2020-02-05T22:44:00Z</cp:lastPrinted>
  <dcterms:created xsi:type="dcterms:W3CDTF">2020-02-04T20:54:00Z</dcterms:created>
  <dcterms:modified xsi:type="dcterms:W3CDTF">2020-02-09T18:02:00Z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zotero-version="5.0.82"&gt;&lt;session id="LRTTF9lE"/&gt;&lt;style id="http://www.zotero.org/styles/chicago-fullnote-bibliography" locale="en-US" hasBibliography="1" bibliographyStyleHasBeenSet="1"/&gt;&lt;prefs&gt;&lt;pref name="fieldType" value="Field"/&gt;</vt:lpwstr>
  </property>
  <property fmtid="{D5CDD505-2E9C-101B-9397-08002B2CF9AE}" pid="3" name="ZOTERO_PREF_2">
    <vt:lpwstr>&lt;pref name="automaticJournalAbbreviations" value="true"/&gt;&lt;pref name="noteType" value="1"/&gt;&lt;/prefs&gt;&lt;/data&gt;</vt:lpwstr>
  </property>
</Properties>
</file>